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Times New Roman"/>
        </w:rPr>
      </w:pPr>
      <w:r>
        <w:rPr>
          <w:rFonts w:ascii="黑体" w:hAnsi="黑体" w:eastAsia="黑体" w:cs="Times New Roman"/>
        </w:rPr>
        <mc:AlternateContent>
          <mc:Choice Requires="wps">
            <w:drawing>
              <wp:anchor distT="0" distB="0" distL="114300" distR="114300" simplePos="0" relativeHeight="251659264"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true">
                        <a:spLocks noChangeArrowheads="true"/>
                      </wps:cNvSpPr>
                      <wps:spPr bwMode="auto">
                        <a:xfrm>
                          <a:off x="0" y="0"/>
                          <a:ext cx="3696970" cy="792480"/>
                        </a:xfrm>
                        <a:prstGeom prst="rect">
                          <a:avLst/>
                        </a:prstGeom>
                        <a:noFill/>
                        <a:ln>
                          <a:noFill/>
                        </a:ln>
                      </wps:spPr>
                      <wps:txbx>
                        <w:txbxContent>
                          <w:p>
                            <w:pPr>
                              <w:pStyle w:val="46"/>
                              <w:shd w:val="clear" w:color="auto" w:fill="auto"/>
                              <w:wordWrap w:val="0"/>
                              <w:ind w:right="471" w:firstLine="625"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false" upright="true">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59264;mso-width-relative:page;mso-height-relative:page;" filled="f" stroked="f" coordsize="21600,21600" o:gfxdata="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Hp1+O7YAAAACwEAAA8AAAAAAAAAAQAgAAAAOAAA&#10;AGRycy9kb3ducmV2LnhtbFBLAQIUABQAAAAIAIdO4kDM3w308gEAANMDAAAOAAAAAAAAAAEAIAAA&#10;AD0BAABkcnMvZTJvRG9jLnhtbFBLBQYAAAAABgAGAFkBAAChBQAAAAA=&#10;">
                <v:fill on="f" focussize="0,0"/>
                <v:stroke on="f"/>
                <v:imagedata o:title=""/>
                <o:lock v:ext="edit" aspectratio="f"/>
                <v:textbox style="mso-fit-shape-to-text:t;">
                  <w:txbxContent>
                    <w:p>
                      <w:pPr>
                        <w:pStyle w:val="46"/>
                        <w:shd w:val="clear" w:color="auto" w:fill="auto"/>
                        <w:wordWrap w:val="0"/>
                        <w:ind w:right="471" w:firstLine="625"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rPr>
        <w:t>ICS 13.080</w:t>
      </w:r>
    </w:p>
    <w:p>
      <w:pPr>
        <w:rPr>
          <w:rFonts w:ascii="黑体" w:hAnsi="黑体" w:eastAsia="黑体" w:cs="Times New Roman"/>
        </w:rPr>
      </w:pPr>
      <w:r>
        <w:rPr>
          <w:rFonts w:ascii="黑体" w:hAnsi="黑体" w:eastAsia="黑体" w:cs="Times New Roman"/>
        </w:rPr>
        <w:t xml:space="preserve">CCS </w:t>
      </w:r>
      <w:r>
        <w:rPr>
          <w:rFonts w:hint="eastAsia" w:ascii="黑体" w:hAnsi="黑体" w:eastAsia="黑体" w:cs="Times New Roman"/>
        </w:rPr>
        <w:t>Z</w:t>
      </w:r>
      <w:r>
        <w:rPr>
          <w:rFonts w:ascii="黑体" w:hAnsi="黑体" w:eastAsia="黑体" w:cs="Times New Roman"/>
        </w:rPr>
        <w:t xml:space="preserve"> </w:t>
      </w:r>
      <w:r>
        <w:rPr>
          <w:rFonts w:hint="eastAsia" w:ascii="黑体" w:hAnsi="黑体" w:eastAsia="黑体" w:cs="Times New Roman"/>
        </w:rPr>
        <w:t>50</w:t>
      </w:r>
      <w:r>
        <w:rPr>
          <w:rFonts w:ascii="黑体" w:hAnsi="黑体" w:eastAsia="黑体" w:cs="Times New Roman"/>
        </w:rPr>
        <w:t xml:space="preserve"> </w:t>
      </w:r>
    </w:p>
    <w:p>
      <w:pPr>
        <w:rPr>
          <w:rFonts w:ascii="黑体" w:hAnsi="黑体" w:eastAsia="黑体"/>
        </w:rPr>
      </w:pPr>
    </w:p>
    <w:p>
      <w:pPr>
        <w:autoSpaceDE w:val="0"/>
        <w:autoSpaceDN w:val="0"/>
        <w:adjustRightInd w:val="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true">
                        <a:spLocks noChangeArrowheads="true"/>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false" upright="true">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2336;mso-width-relative:page;mso-height-relative:page;" filled="f" stroked="f" coordsize="21600,21600" o:gfxdata="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p6icQ9gAAAAKAQAA&#10;DwAAAAAAAAABACAAAAA4AAAAZHJzL2Rvd25yZXYueG1sUEsBAhQAFAAAAAgAh07iQGuVgo4DAgAA&#10;8QMAAA4AAAAAAAAAAQAgAAAAPQEAAGRycy9lMm9Eb2MueG1sUEsFBgAAAAAGAAYAWQEAALIFAAAA&#10;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autoSpaceDE w:val="0"/>
        <w:autoSpaceDN w:val="0"/>
        <w:adjustRightInd w:val="0"/>
        <w:spacing w:line="3686" w:lineRule="exact"/>
        <w:jc w:val="center"/>
        <w:rPr>
          <w:rFonts w:ascii="黑体" w:hAnsi="黑体" w:eastAsia="黑体"/>
        </w:rPr>
      </w:pPr>
      <w:r>
        <w:rPr>
          <w:rFonts w:ascii="黑体" w:hAnsi="黑体" w:eastAsia="黑体"/>
        </w:rPr>
        <mc:AlternateContent>
          <mc:Choice Requires="wps">
            <w:drawing>
              <wp:anchor distT="0" distB="0" distL="114300" distR="114300" simplePos="0" relativeHeight="251664384"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true">
                        <a:spLocks noChangeArrowheads="true"/>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wps:txbx>
                      <wps:bodyPr rot="0" vert="horz" wrap="square" lIns="91440" tIns="45720" rIns="91440" bIns="45720" anchor="t" anchorCtr="false" upright="true">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4384;mso-width-relative:page;mso-height-relative:page;" filled="f" stroked="f" coordsize="21600,21600" o:gfxdata="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BYAAABkcnMvUEsBAhQAFAAAAAgAh07iQKr5137bAAAA&#10;CwEAAA8AAAAAAAAAAQAgAAAAOAAAAGRycy9kb3ducmV2LnhtbFBLAQIUABQAAAAIAIdO4kB8rynt&#10;BAIAAPEDAAAOAAAAAAAAAAEAIAAAAEABAABkcnMvZTJvRG9jLnhtbFBLBQYAAAAABgAGAFkBAAC2&#10;BQA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v:textbox>
              </v:shape>
            </w:pict>
          </mc:Fallback>
        </mc:AlternateConten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0288;mso-width-relative:page;mso-height-relative:page;" filled="f" stroked="t" coordsize="21600,21600" o:gfxdata="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CIy4Wx0wAAAAgBAAAPAAAAAAAAAAEAIAAAADgAAABk&#10;cnMvZG93bnJldi54bWxQSwECFAAUAAAACACHTuJAOWU6U7wBAABpAwAADgAAAAAAAAABACAAAAA4&#10;AQAAZHJzL2Uyb0RvYy54bWxQSwUGAAAAAAYABgBZAQAAZgUAAAAA&#10;">
                <v:fill on="f" focussize="0,0"/>
                <v:stroke weight="1pt" color="#000000" joinstyle="round"/>
                <v:imagedata o:title=""/>
                <o:lock v:ext="edit" aspectratio="f"/>
              </v:shape>
            </w:pict>
          </mc:Fallback>
        </mc:AlternateContent>
      </w: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true">
                        <a:spLocks noChangeArrowheads="true"/>
                      </wps:cNvSpPr>
                      <wps:spPr bwMode="auto">
                        <a:xfrm>
                          <a:off x="0" y="0"/>
                          <a:ext cx="5924550" cy="3248025"/>
                        </a:xfrm>
                        <a:prstGeom prst="rect">
                          <a:avLst/>
                        </a:prstGeom>
                        <a:noFill/>
                        <a:ln w="0">
                          <a:noFill/>
                          <a:miter lim="800000"/>
                        </a:ln>
                      </wps:spPr>
                      <wps:txbx>
                        <w:txbxContent>
                          <w:p>
                            <w:pPr>
                              <w:jc w:val="center"/>
                              <w:rPr>
                                <w:rFonts w:ascii="黑体" w:hAnsi="宋体" w:eastAsia="黑体"/>
                                <w:sz w:val="52"/>
                                <w:szCs w:val="52"/>
                              </w:rPr>
                            </w:pPr>
                            <w:r>
                              <w:rPr>
                                <w:rFonts w:hint="eastAsia" w:ascii="黑体" w:hAnsi="宋体" w:eastAsia="黑体"/>
                                <w:sz w:val="52"/>
                                <w:szCs w:val="52"/>
                              </w:rPr>
                              <w:t>土壤环境背景值</w:t>
                            </w:r>
                          </w:p>
                          <w:p>
                            <w:pPr>
                              <w:jc w:val="center"/>
                              <w:rPr>
                                <w:rStyle w:val="60"/>
                                <w:rFonts w:ascii="黑体" w:hAnsi="黑体" w:eastAsia="黑体"/>
                                <w:kern w:val="0"/>
                                <w:sz w:val="28"/>
                                <w:szCs w:val="21"/>
                              </w:rPr>
                            </w:pPr>
                            <w:r>
                              <w:rPr>
                                <w:rFonts w:ascii="黑体" w:hAnsi="黑体" w:eastAsia="黑体"/>
                                <w:kern w:val="0"/>
                                <w:sz w:val="28"/>
                                <w:szCs w:val="21"/>
                              </w:rPr>
                              <w:t>Environmental background values of soil</w:t>
                            </w:r>
                          </w:p>
                          <w:p>
                            <w:pPr>
                              <w:jc w:val="center"/>
                              <w:rPr>
                                <w:rFonts w:asciiTheme="minorEastAsia" w:hAnsiTheme="minorEastAsia"/>
                                <w:sz w:val="24"/>
                              </w:rPr>
                            </w:pPr>
                            <w:r>
                              <w:rPr>
                                <w:rFonts w:hint="eastAsia" w:asciiTheme="minorEastAsia" w:hAnsiTheme="minorEastAsia"/>
                                <w:sz w:val="24"/>
                              </w:rPr>
                              <w:t>（报批稿）</w:t>
                            </w:r>
                          </w:p>
                        </w:txbxContent>
                      </wps:txbx>
                      <wps:bodyPr rot="0" vert="horz" wrap="square" lIns="91440" tIns="45720" rIns="91440" bIns="45720" anchor="t" anchorCtr="false" upright="true">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1312;mso-width-relative:page;mso-height-relative:page;" filled="f" stroked="f" coordsize="21600,21600" o:gfxdata="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hzBuOtkAAAALAQAA&#10;DwAAAAAAAAABACAAAAA4AAAAZHJzL2Rvd25yZXYueG1sUEsBAhQAFAAAAAgAh07iQJkxDzQCAgAA&#10;8gMAAA4AAAAAAAAAAQAgAAAAPgEAAGRycy9lMm9Eb2MueG1sUEsFBgAAAAAGAAYAWQEAALIFAAAA&#10;AA==&#10;">
                <v:fill on="f" focussize="0,0"/>
                <v:stroke on="f" weight="0pt" miterlimit="8" joinstyle="miter"/>
                <v:imagedata o:title=""/>
                <o:lock v:ext="edit" aspectratio="f"/>
                <v:textbox>
                  <w:txbxContent>
                    <w:p>
                      <w:pPr>
                        <w:jc w:val="center"/>
                        <w:rPr>
                          <w:rFonts w:ascii="黑体" w:hAnsi="宋体" w:eastAsia="黑体"/>
                          <w:sz w:val="52"/>
                          <w:szCs w:val="52"/>
                        </w:rPr>
                      </w:pPr>
                      <w:r>
                        <w:rPr>
                          <w:rFonts w:hint="eastAsia" w:ascii="黑体" w:hAnsi="宋体" w:eastAsia="黑体"/>
                          <w:sz w:val="52"/>
                          <w:szCs w:val="52"/>
                        </w:rPr>
                        <w:t>土壤环境背景值</w:t>
                      </w:r>
                    </w:p>
                    <w:p>
                      <w:pPr>
                        <w:jc w:val="center"/>
                        <w:rPr>
                          <w:rStyle w:val="60"/>
                          <w:rFonts w:ascii="黑体" w:hAnsi="黑体" w:eastAsia="黑体"/>
                          <w:kern w:val="0"/>
                          <w:sz w:val="28"/>
                          <w:szCs w:val="21"/>
                        </w:rPr>
                      </w:pPr>
                      <w:r>
                        <w:rPr>
                          <w:rFonts w:ascii="黑体" w:hAnsi="黑体" w:eastAsia="黑体"/>
                          <w:kern w:val="0"/>
                          <w:sz w:val="28"/>
                          <w:szCs w:val="21"/>
                        </w:rPr>
                        <w:t>Environmental background values of soil</w:t>
                      </w:r>
                    </w:p>
                    <w:p>
                      <w:pPr>
                        <w:jc w:val="center"/>
                        <w:rPr>
                          <w:rFonts w:asciiTheme="minorEastAsia" w:hAnsiTheme="minorEastAsia"/>
                          <w:sz w:val="24"/>
                        </w:rPr>
                      </w:pPr>
                      <w:r>
                        <w:rPr>
                          <w:rFonts w:hint="eastAsia" w:asciiTheme="minorEastAsia" w:hAnsiTheme="minorEastAsia"/>
                          <w:sz w:val="24"/>
                        </w:rPr>
                        <w:t>（报批稿）</w:t>
                      </w:r>
                    </w:p>
                  </w:txbxContent>
                </v:textbox>
              </v:shape>
            </w:pict>
          </mc:Fallback>
        </mc:AlternateConten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hint="eastAsia" w:ascii="黑体" w:hAnsi="黑体" w:eastAsia="黑体"/>
        </w:rPr>
        <w:t xml:space="preserve">                                                                                          </w:t>
      </w:r>
    </w:p>
    <w:p>
      <w:pPr>
        <w:pStyle w:val="2"/>
      </w:pPr>
    </w:p>
    <w:p>
      <w:pPr>
        <w:pStyle w:val="2"/>
      </w:pPr>
    </w:p>
    <w:p>
      <w:pPr>
        <w:pStyle w:val="2"/>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sz w:val="28"/>
          <w:szCs w:val="28"/>
        </w:rPr>
      </w:pPr>
      <w:r>
        <w:rPr>
          <w:rFonts w:ascii="黑体" w:hAnsi="黑体" w:eastAsia="黑体"/>
          <w:sz w:val="28"/>
          <w:szCs w:val="28"/>
        </w:rPr>
        <mc:AlternateContent>
          <mc:Choice Requires="wps">
            <w:drawing>
              <wp:anchor distT="0" distB="0" distL="114300" distR="114300" simplePos="0" relativeHeight="251665408"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5408;mso-width-relative:page;mso-height-relative:page;" filled="f" stroked="t" coordsize="21600,21600" o:gfxdata="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WAAAAZHJzL1BLAQIUABQAAAAIAIdO4kCvMgXH1gAAAAwBAAAPAAAAAAAAAAEAIAAAADgA&#10;AABkcnMvZG93bnJldi54bWxQSwECFAAUAAAACACHTuJAbdKPlLwBAABpAwAADgAAAAAAAAABACAA&#10;AAA7AQAAZHJzL2Uyb0RvYy54bWxQSwUGAAAAAAYABgBZAQAAaQUAAAAA&#10;">
                <v:fill on="f" focussize="0,0"/>
                <v:stroke weight="1pt" color="#000000" joinstyle="round"/>
                <v:imagedata o:title=""/>
                <o:lock v:ext="edit" aspectratio="f"/>
              </v:shape>
            </w:pict>
          </mc:Fallback>
        </mc:AlternateContent>
      </w:r>
      <w:r>
        <w:rPr>
          <w:rFonts w:hint="eastAsia" w:ascii="黑体" w:hAnsi="黑体" w:eastAsia="黑体"/>
          <w:sz w:val="28"/>
          <w:szCs w:val="28"/>
        </w:rPr>
        <w:t>2024-XX-XX发布                                       2024-XX-XX实施</w:t>
      </w:r>
    </w:p>
    <w:p>
      <w:pPr>
        <w:spacing w:line="1247" w:lineRule="exact"/>
        <w:jc w:val="center"/>
        <w:rPr>
          <w:rFonts w:ascii="黑体" w:hAnsi="黑体" w:eastAsia="黑体"/>
          <w:sz w:val="28"/>
          <w:szCs w:val="28"/>
        </w:rPr>
      </w:pPr>
      <w:bookmarkStart w:id="0" w:name="_Toc18385"/>
      <w:bookmarkStart w:id="1" w:name="_Toc3547"/>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2"/>
      </w:pPr>
    </w:p>
    <w:p>
      <w:pPr>
        <w:rPr>
          <w:rFonts w:ascii="黑体" w:hAnsi="黑体" w:eastAsia="黑体"/>
          <w:sz w:val="28"/>
          <w:szCs w:val="28"/>
        </w:rPr>
        <w:sectPr>
          <w:pgSz w:w="11906" w:h="16838"/>
          <w:pgMar w:top="567" w:right="851" w:bottom="1134" w:left="1418" w:header="0" w:footer="0" w:gutter="0"/>
          <w:cols w:space="425" w:num="1"/>
          <w:docGrid w:type="lines" w:linePitch="312" w:charSpace="0"/>
        </w:sectPr>
      </w:pPr>
    </w:p>
    <w:p>
      <w:pPr>
        <w:snapToGrid w:val="0"/>
        <w:spacing w:before="567" w:after="680"/>
        <w:jc w:val="center"/>
        <w:rPr>
          <w:rFonts w:ascii="黑体" w:hAnsi="黑体" w:eastAsia="黑体"/>
          <w:sz w:val="32"/>
          <w:szCs w:val="32"/>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szCs w:val="21"/>
        </w:rPr>
        <w:fldChar w:fldCharType="begin"/>
      </w:r>
      <w:r>
        <w:rPr>
          <w:rFonts w:hint="eastAsia" w:ascii="宋体" w:hAnsi="宋体" w:eastAsia="宋体" w:cs="宋体"/>
          <w:szCs w:val="21"/>
        </w:rPr>
        <w:instrText xml:space="preserve"> TOC \o "1-3" \h \z \u </w:instrText>
      </w:r>
      <w:r>
        <w:rPr>
          <w:rFonts w:hint="eastAsia" w:ascii="宋体" w:hAnsi="宋体" w:eastAsia="宋体" w:cs="宋体"/>
          <w:szCs w:val="21"/>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"_Toc164415071" </w:instrText>
      </w:r>
      <w:r>
        <w:rPr>
          <w:rFonts w:hint="eastAsia" w:ascii="宋体" w:hAnsi="宋体" w:eastAsia="宋体" w:cs="宋体"/>
        </w:rPr>
        <w:fldChar w:fldCharType="separate"/>
      </w:r>
      <w:r>
        <w:rPr>
          <w:rStyle w:val="38"/>
          <w:rFonts w:hint="eastAsia" w:ascii="宋体" w:hAnsi="宋体" w:eastAsia="宋体" w:cs="宋体"/>
          <w:kern w:val="0"/>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_Toc164415071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"_Toc164415072" </w:instrText>
      </w:r>
      <w:r>
        <w:rPr>
          <w:rFonts w:hint="eastAsia" w:ascii="宋体" w:hAnsi="宋体" w:eastAsia="宋体" w:cs="宋体"/>
        </w:rPr>
        <w:fldChar w:fldCharType="separate"/>
      </w:r>
      <w:r>
        <w:rPr>
          <w:rStyle w:val="38"/>
          <w:rFonts w:hint="eastAsia" w:ascii="宋体" w:hAnsi="宋体" w:eastAsia="宋体" w:cs="宋体"/>
        </w:rPr>
        <w:t>1  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_Toc164415072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"_Toc164415073" </w:instrText>
      </w:r>
      <w:r>
        <w:rPr>
          <w:rFonts w:hint="eastAsia" w:ascii="宋体" w:hAnsi="宋体" w:eastAsia="宋体" w:cs="宋体"/>
        </w:rPr>
        <w:fldChar w:fldCharType="separate"/>
      </w:r>
      <w:r>
        <w:rPr>
          <w:rStyle w:val="38"/>
          <w:rFonts w:hint="eastAsia" w:ascii="宋体" w:hAnsi="宋体" w:eastAsia="宋体" w:cs="宋体"/>
        </w:rPr>
        <w:t>2  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_Toc164415073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"_Toc164415074" </w:instrText>
      </w:r>
      <w:r>
        <w:rPr>
          <w:rFonts w:hint="eastAsia" w:ascii="宋体" w:hAnsi="宋体" w:eastAsia="宋体" w:cs="宋体"/>
        </w:rPr>
        <w:fldChar w:fldCharType="separate"/>
      </w:r>
      <w:r>
        <w:rPr>
          <w:rStyle w:val="38"/>
          <w:rFonts w:hint="eastAsia" w:ascii="宋体" w:hAnsi="宋体" w:eastAsia="宋体" w:cs="宋体"/>
        </w:rPr>
        <w:t>3  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_Toc164415074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"_Toc164415075" </w:instrText>
      </w:r>
      <w:r>
        <w:rPr>
          <w:rFonts w:hint="eastAsia" w:ascii="宋体" w:hAnsi="宋体" w:eastAsia="宋体" w:cs="宋体"/>
        </w:rPr>
        <w:fldChar w:fldCharType="separate"/>
      </w:r>
      <w:r>
        <w:rPr>
          <w:rStyle w:val="38"/>
          <w:rFonts w:hint="eastAsia" w:ascii="宋体" w:hAnsi="宋体" w:eastAsia="宋体" w:cs="宋体"/>
        </w:rPr>
        <w:t>4  土壤环境背景值</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_Toc164415075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27"/>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"_Toc164415076" </w:instrText>
      </w:r>
      <w:r>
        <w:rPr>
          <w:rFonts w:hint="eastAsia" w:ascii="宋体" w:hAnsi="宋体" w:eastAsia="宋体" w:cs="宋体"/>
        </w:rPr>
        <w:fldChar w:fldCharType="separate"/>
      </w:r>
      <w:r>
        <w:rPr>
          <w:rStyle w:val="38"/>
          <w:rFonts w:hint="eastAsia" w:ascii="宋体" w:hAnsi="宋体" w:eastAsia="宋体" w:cs="宋体"/>
          <w:color w:val="auto"/>
          <w14:scene3d>
            <w14:lightRig w14:rig="threePt" w14:dir="t">
              <w14:rot w14:lat="0" w14:lon="0" w14:rev="0"/>
            </w14:lightRig>
          </w14:scene3d>
        </w:rPr>
        <w:t>4.1</w:t>
      </w:r>
      <w:r>
        <w:rPr>
          <w:rStyle w:val="38"/>
          <w:rFonts w:hint="eastAsia" w:ascii="宋体" w:hAnsi="宋体" w:eastAsia="宋体" w:cs="宋体"/>
          <w:color w:val="auto"/>
        </w:rPr>
        <w:t xml:space="preserve">  土壤环境背景含量基本统计量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_Toc164415076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27"/>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"_Toc164415077" </w:instrText>
      </w:r>
      <w:r>
        <w:rPr>
          <w:rFonts w:hint="eastAsia" w:ascii="宋体" w:hAnsi="宋体" w:eastAsia="宋体" w:cs="宋体"/>
        </w:rPr>
        <w:fldChar w:fldCharType="separate"/>
      </w:r>
      <w:r>
        <w:rPr>
          <w:rStyle w:val="38"/>
          <w:rFonts w:hint="eastAsia" w:ascii="宋体" w:hAnsi="宋体" w:eastAsia="宋体" w:cs="宋体"/>
          <w:color w:val="auto"/>
          <w14:scene3d>
            <w14:lightRig w14:rig="threePt" w14:dir="t">
              <w14:rot w14:lat="0" w14:lon="0" w14:rev="0"/>
            </w14:lightRig>
          </w14:scene3d>
        </w:rPr>
        <w:t>4.2</w:t>
      </w:r>
      <w:r>
        <w:rPr>
          <w:rStyle w:val="38"/>
          <w:rFonts w:hint="eastAsia" w:ascii="宋体" w:hAnsi="宋体" w:eastAsia="宋体" w:cs="宋体"/>
          <w:color w:val="auto"/>
        </w:rPr>
        <w:t xml:space="preserve">  土壤环境背景值的确定和使用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_Toc164415077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"_Toc164415078" </w:instrText>
      </w:r>
      <w:r>
        <w:rPr>
          <w:rFonts w:hint="eastAsia" w:ascii="宋体" w:hAnsi="宋体" w:eastAsia="宋体" w:cs="宋体"/>
        </w:rPr>
        <w:fldChar w:fldCharType="separate"/>
      </w:r>
      <w:r>
        <w:rPr>
          <w:rStyle w:val="38"/>
          <w:rFonts w:hint="eastAsia" w:ascii="宋体" w:hAnsi="宋体" w:eastAsia="宋体" w:cs="宋体"/>
        </w:rPr>
        <w:t>5  检测方法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_Toc164415078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"_Toc164415079" </w:instrText>
      </w:r>
      <w:r>
        <w:rPr>
          <w:rFonts w:hint="eastAsia" w:ascii="宋体" w:hAnsi="宋体" w:eastAsia="宋体" w:cs="宋体"/>
        </w:rPr>
        <w:fldChar w:fldCharType="separate"/>
      </w:r>
      <w:r>
        <w:rPr>
          <w:rStyle w:val="38"/>
          <w:rFonts w:hint="eastAsia" w:ascii="宋体" w:hAnsi="宋体" w:eastAsia="宋体" w:cs="宋体"/>
        </w:rPr>
        <w:t>附录A（规范性）  苏州市行政区及地貌类型分布图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_Toc164415079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"_Toc164415083" </w:instrText>
      </w:r>
      <w:r>
        <w:rPr>
          <w:rFonts w:hint="eastAsia" w:ascii="宋体" w:hAnsi="宋体" w:eastAsia="宋体" w:cs="宋体"/>
        </w:rPr>
        <w:fldChar w:fldCharType="separate"/>
      </w:r>
      <w:r>
        <w:rPr>
          <w:rStyle w:val="38"/>
          <w:rFonts w:hint="eastAsia" w:ascii="宋体" w:hAnsi="宋体" w:eastAsia="宋体" w:cs="宋体"/>
        </w:rPr>
        <w:t>附录B（规范性）  各统计单元土壤环境背景基本统计量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_Toc164415083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"_Toc164415087" </w:instrText>
      </w:r>
      <w:r>
        <w:rPr>
          <w:rFonts w:hint="eastAsia" w:ascii="宋体" w:hAnsi="宋体" w:eastAsia="宋体" w:cs="宋体"/>
        </w:rPr>
        <w:fldChar w:fldCharType="separate"/>
      </w:r>
      <w:r>
        <w:rPr>
          <w:rStyle w:val="38"/>
          <w:rFonts w:hint="eastAsia" w:ascii="宋体" w:hAnsi="宋体" w:eastAsia="宋体" w:cs="宋体"/>
        </w:rPr>
        <w:t>附录C（规范性）  土壤相关元素检测方法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_Toc164415087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pPr>
        <w:pStyle w:val="22"/>
        <w:tabs>
          <w:tab w:val="right" w:leader="dot" w:pos="9344"/>
        </w:tabs>
        <w:rPr>
          <w:rFonts w:hint="eastAsia" w:ascii="宋体" w:hAnsi="宋体" w:eastAsia="宋体" w:cs="宋体"/>
          <w14:ligatures w14:val="standardContextual"/>
        </w:rPr>
      </w:pPr>
      <w:r>
        <w:rPr>
          <w:rFonts w:hint="eastAsia" w:ascii="宋体" w:hAnsi="宋体" w:eastAsia="宋体" w:cs="宋体"/>
        </w:rPr>
        <w:fldChar w:fldCharType="begin"/>
      </w:r>
      <w:r>
        <w:rPr>
          <w:rFonts w:hint="eastAsia" w:ascii="宋体" w:hAnsi="宋体" w:eastAsia="宋体" w:cs="宋体"/>
        </w:rPr>
        <w:instrText xml:space="preserve"> HYPERLINK \l "_Toc164415091" </w:instrText>
      </w:r>
      <w:r>
        <w:rPr>
          <w:rFonts w:hint="eastAsia" w:ascii="宋体" w:hAnsi="宋体" w:eastAsia="宋体" w:cs="宋体"/>
        </w:rPr>
        <w:fldChar w:fldCharType="separate"/>
      </w:r>
      <w:r>
        <w:rPr>
          <w:rStyle w:val="38"/>
          <w:rFonts w:hint="eastAsia" w:ascii="宋体" w:hAnsi="宋体" w:eastAsia="宋体" w:cs="宋体"/>
        </w:rPr>
        <w:t>参考文献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_Toc164415091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rPr>
        <w:fldChar w:fldCharType="end"/>
      </w:r>
    </w:p>
    <w:p>
      <w:pPr>
        <w:snapToGrid w:val="0"/>
        <w:jc w:val="left"/>
        <w:rPr>
          <w:rFonts w:hint="eastAsia" w:ascii="宋体" w:hAnsi="宋体" w:eastAsia="宋体" w:cs="宋体"/>
          <w:szCs w:val="21"/>
        </w:rPr>
      </w:pPr>
      <w:r>
        <w:rPr>
          <w:rFonts w:hint="eastAsia" w:ascii="宋体" w:hAnsi="宋体" w:eastAsia="宋体" w:cs="宋体"/>
          <w:szCs w:val="21"/>
        </w:rPr>
        <w:fldChar w:fldCharType="end"/>
      </w: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65"/>
        <w:numPr>
          <w:ilvl w:val="0"/>
          <w:numId w:val="0"/>
        </w:numPr>
        <w:shd w:val="clear" w:color="auto" w:fill="auto"/>
        <w:spacing w:before="567" w:after="680" w:afterLines="0"/>
        <w:jc w:val="both"/>
        <w:rPr>
          <w:spacing w:val="320"/>
        </w:rPr>
        <w:sectPr>
          <w:headerReference r:id="rId3" w:type="default"/>
          <w:footerReference r:id="rId5" w:type="default"/>
          <w:headerReference r:id="rId4" w:type="even"/>
          <w:footerReference r:id="rId6" w:type="even"/>
          <w:pgSz w:w="11906" w:h="16838"/>
          <w:pgMar w:top="1417" w:right="1134" w:bottom="1134" w:left="1418" w:header="1417" w:footer="1134" w:gutter="0"/>
          <w:pgNumType w:fmt="upperRoman" w:start="1"/>
          <w:cols w:space="425" w:num="1"/>
          <w:docGrid w:type="lines" w:linePitch="312" w:charSpace="0"/>
        </w:sectPr>
      </w:pPr>
    </w:p>
    <w:p>
      <w:pPr>
        <w:pStyle w:val="2"/>
        <w:sectPr>
          <w:footerReference r:id="rId7" w:type="default"/>
          <w:footerReference r:id="rId8" w:type="even"/>
          <w:pgSz w:w="11906" w:h="16838"/>
          <w:pgMar w:top="1417" w:right="1134" w:bottom="1134" w:left="1418" w:header="1417" w:footer="1134" w:gutter="0"/>
          <w:pgNumType w:fmt="upperRoman" w:start="2"/>
          <w:cols w:space="425" w:num="1"/>
          <w:docGrid w:type="lines" w:linePitch="312" w:charSpace="0"/>
        </w:sectPr>
      </w:pPr>
    </w:p>
    <w:p>
      <w:pPr>
        <w:snapToGrid w:val="0"/>
        <w:spacing w:before="567" w:after="680"/>
        <w:ind w:firstLine="640" w:firstLineChars="200"/>
        <w:jc w:val="center"/>
        <w:outlineLvl w:val="0"/>
        <w:rPr>
          <w:rFonts w:ascii="黑体" w:hAnsi="黑体" w:eastAsia="黑体" w:cs="黑体"/>
          <w:kern w:val="0"/>
          <w:sz w:val="32"/>
          <w:szCs w:val="32"/>
        </w:rPr>
      </w:pPr>
      <w:bookmarkStart w:id="2" w:name="_Toc164415071"/>
      <w:r>
        <w:rPr>
          <w:rFonts w:hint="eastAsia" w:ascii="黑体" w:hAnsi="黑体" w:eastAsia="黑体" w:cs="黑体"/>
          <w:kern w:val="0"/>
          <w:sz w:val="32"/>
          <w:szCs w:val="32"/>
        </w:rPr>
        <w:t>前    言</w:t>
      </w:r>
      <w:bookmarkEnd w:id="2"/>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本文件按照GB/T 1.1—2020《标准化工作导则 第1部分：标准化文件的结构和起草规则》的规定起草。</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请注意本文件</w:t>
      </w:r>
      <w:r>
        <w:rPr>
          <w:rFonts w:ascii="宋体" w:hAnsi="宋体" w:eastAsia="宋体" w:cs="宋体"/>
          <w:kern w:val="0"/>
          <w:szCs w:val="21"/>
        </w:rPr>
        <w:t>的某些内容可能涉及专利</w:t>
      </w:r>
      <w:r>
        <w:rPr>
          <w:rFonts w:hint="eastAsia" w:ascii="宋体" w:hAnsi="宋体" w:eastAsia="宋体" w:cs="宋体"/>
          <w:kern w:val="0"/>
          <w:szCs w:val="21"/>
        </w:rPr>
        <w:t>。</w:t>
      </w:r>
      <w:r>
        <w:rPr>
          <w:rFonts w:ascii="宋体" w:hAnsi="宋体" w:eastAsia="宋体" w:cs="宋体"/>
          <w:kern w:val="0"/>
          <w:szCs w:val="21"/>
        </w:rPr>
        <w:t>本文件的</w:t>
      </w:r>
      <w:r>
        <w:rPr>
          <w:rFonts w:hint="eastAsia" w:ascii="宋体" w:hAnsi="宋体" w:eastAsia="宋体" w:cs="宋体"/>
          <w:kern w:val="0"/>
          <w:szCs w:val="21"/>
        </w:rPr>
        <w:t>发布</w:t>
      </w:r>
      <w:r>
        <w:rPr>
          <w:rFonts w:ascii="宋体" w:hAnsi="宋体" w:eastAsia="宋体" w:cs="宋体"/>
          <w:kern w:val="0"/>
          <w:szCs w:val="21"/>
        </w:rPr>
        <w:t>机构不承担识别专利的责任。</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本文件由苏州市生态环境局提出、归口并组织实施。</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本文件起草单位：生态环境部南京环境科学研究所、苏州市环境科学研究所。</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本文件主要起草人：徐建、尹爱经、许伟、芦园园、杨敏、吴运金、林玉锁、陈琳、王晓寒、陆爽君。</w:t>
      </w:r>
    </w:p>
    <w:p>
      <w:pPr>
        <w:snapToGrid w:val="0"/>
        <w:ind w:firstLine="420" w:firstLineChars="200"/>
        <w:rPr>
          <w:rFonts w:ascii="宋体" w:hAnsi="宋体" w:eastAsia="宋体" w:cs="宋体"/>
          <w:kern w:val="0"/>
          <w:szCs w:val="21"/>
        </w:rPr>
      </w:pPr>
    </w:p>
    <w:p>
      <w:pPr>
        <w:snapToGrid w:val="0"/>
        <w:ind w:firstLine="420" w:firstLineChars="200"/>
        <w:rPr>
          <w:rFonts w:ascii="宋体" w:hAnsi="宋体" w:eastAsia="宋体" w:cs="宋体"/>
          <w:kern w:val="0"/>
          <w:szCs w:val="21"/>
        </w:rPr>
        <w:sectPr>
          <w:footerReference r:id="rId10" w:type="default"/>
          <w:headerReference r:id="rId9" w:type="even"/>
          <w:footerReference r:id="rId11" w:type="even"/>
          <w:pgSz w:w="11906" w:h="16838"/>
          <w:pgMar w:top="1417" w:right="1134" w:bottom="1134" w:left="1418" w:header="1417" w:footer="1134" w:gutter="0"/>
          <w:pgNumType w:fmt="upperRoman" w:start="2"/>
          <w:cols w:space="425" w:num="1"/>
          <w:docGrid w:type="lines" w:linePitch="312" w:charSpace="0"/>
        </w:sectPr>
      </w:pPr>
    </w:p>
    <w:p>
      <w:pPr>
        <w:pStyle w:val="2"/>
      </w:pPr>
    </w:p>
    <w:p>
      <w:pPr>
        <w:widowControl/>
        <w:rPr>
          <w:rFonts w:ascii="黑体" w:hAnsi="黑体" w:eastAsia="黑体"/>
          <w:bCs/>
          <w:sz w:val="32"/>
          <w:szCs w:val="32"/>
        </w:rPr>
        <w:sectPr>
          <w:footerReference r:id="rId13" w:type="default"/>
          <w:headerReference r:id="rId12" w:type="even"/>
          <w:footerReference r:id="rId14" w:type="even"/>
          <w:pgSz w:w="11906" w:h="16838"/>
          <w:pgMar w:top="1417" w:right="1134" w:bottom="1134" w:left="1418" w:header="1417" w:footer="1134" w:gutter="0"/>
          <w:pgNumType w:fmt="upperRoman" w:start="2"/>
          <w:cols w:space="425" w:num="1"/>
          <w:docGrid w:type="lines" w:linePitch="312" w:charSpace="0"/>
        </w:sectPr>
      </w:pPr>
      <w:bookmarkStart w:id="3" w:name="SectionMark4"/>
    </w:p>
    <w:p>
      <w:pPr>
        <w:widowControl/>
        <w:spacing w:before="567" w:after="680"/>
        <w:jc w:val="center"/>
        <w:rPr>
          <w:rFonts w:ascii="黑体" w:hAnsi="黑体" w:eastAsia="黑体"/>
          <w:bCs/>
          <w:sz w:val="32"/>
          <w:szCs w:val="32"/>
        </w:rPr>
      </w:pPr>
      <w:r>
        <w:rPr>
          <w:rFonts w:hint="eastAsia" w:ascii="黑体" w:hAnsi="宋体" w:eastAsia="黑体"/>
          <w:sz w:val="32"/>
          <w:szCs w:val="32"/>
        </w:rPr>
        <w:t>土壤环境背景值</w:t>
      </w:r>
    </w:p>
    <w:bookmarkEnd w:id="3"/>
    <w:p>
      <w:pPr>
        <w:pStyle w:val="82"/>
      </w:pPr>
      <w:bookmarkStart w:id="4" w:name="_Toc67393169"/>
      <w:bookmarkStart w:id="5" w:name="_Toc48572088"/>
      <w:bookmarkStart w:id="6" w:name="_Toc164415072"/>
      <w:bookmarkStart w:id="7" w:name="_Toc48028397"/>
      <w:bookmarkStart w:id="8" w:name="_Toc47964512"/>
      <w:bookmarkStart w:id="9" w:name="_Toc48028304"/>
      <w:bookmarkStart w:id="10" w:name="_Toc30515"/>
      <w:bookmarkStart w:id="11" w:name="_Toc15741"/>
      <w:bookmarkStart w:id="12" w:name="_Toc48050151"/>
      <w:bookmarkStart w:id="13" w:name="_Toc51663569"/>
      <w:bookmarkStart w:id="14" w:name="_Toc51147912"/>
      <w:bookmarkStart w:id="15" w:name="_Toc67401897"/>
      <w:bookmarkStart w:id="16" w:name="_Toc21213"/>
      <w:bookmarkStart w:id="17" w:name="_Toc47973642"/>
      <w:bookmarkStart w:id="18" w:name="_Toc40454690"/>
      <w:bookmarkStart w:id="19" w:name="_Toc47964470"/>
      <w:bookmarkStart w:id="20" w:name="_Toc66965087"/>
      <w:bookmarkStart w:id="21" w:name="_Toc115339701"/>
      <w:bookmarkStart w:id="22" w:name="_Toc122448156"/>
      <w:bookmarkStart w:id="23" w:name="_Toc47973431"/>
      <w:bookmarkStart w:id="24" w:name="_Toc48569571"/>
      <w:bookmarkStart w:id="25" w:name="_Toc87811223"/>
      <w:bookmarkStart w:id="26" w:name="_Toc48049835"/>
      <w:bookmarkStart w:id="27" w:name="_Toc10375"/>
      <w:bookmarkStart w:id="28" w:name="_Toc87811368"/>
      <w:bookmarkStart w:id="29" w:name="_Toc46494722"/>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67"/>
      </w:pPr>
      <w:r>
        <w:rPr>
          <w:rFonts w:hint="eastAsia"/>
        </w:rPr>
        <w:t>本文件规定了苏州市12种元素的土壤环境背景值及使用方法，并提出了检测方法要求。</w:t>
      </w:r>
    </w:p>
    <w:p>
      <w:pPr>
        <w:pStyle w:val="67"/>
      </w:pPr>
      <w:r>
        <w:rPr>
          <w:rFonts w:hint="eastAsia"/>
        </w:rPr>
        <w:t>本文件适用于苏州市区域性土壤环境背景状况评价，地块尺度土壤环境背景含量统计应按照国家相关技术规范执行。</w:t>
      </w:r>
    </w:p>
    <w:p>
      <w:pPr>
        <w:pStyle w:val="82"/>
      </w:pPr>
      <w:bookmarkStart w:id="30" w:name="_Toc48569572"/>
      <w:bookmarkStart w:id="31" w:name="_Toc87811369"/>
      <w:bookmarkStart w:id="32" w:name="_Toc27904"/>
      <w:bookmarkStart w:id="33" w:name="_Toc47973643"/>
      <w:bookmarkStart w:id="34" w:name="_Toc66965088"/>
      <w:bookmarkStart w:id="35" w:name="_Toc48572089"/>
      <w:bookmarkStart w:id="36" w:name="_Toc27351"/>
      <w:bookmarkStart w:id="37" w:name="_Toc5397"/>
      <w:bookmarkStart w:id="38" w:name="_Toc48049836"/>
      <w:bookmarkStart w:id="39" w:name="_Toc164415073"/>
      <w:bookmarkStart w:id="40" w:name="_Toc48028398"/>
      <w:bookmarkStart w:id="41" w:name="_Toc67401898"/>
      <w:bookmarkStart w:id="42" w:name="_Toc48028305"/>
      <w:bookmarkStart w:id="43" w:name="_Toc40454691"/>
      <w:bookmarkStart w:id="44" w:name="_Toc67393170"/>
      <w:bookmarkStart w:id="45" w:name="_Toc46494723"/>
      <w:bookmarkStart w:id="46" w:name="_Toc115339702"/>
      <w:bookmarkStart w:id="47" w:name="_Toc51663570"/>
      <w:bookmarkStart w:id="48" w:name="_Toc87811224"/>
      <w:bookmarkStart w:id="49" w:name="_Toc47964471"/>
      <w:bookmarkStart w:id="50" w:name="_Toc47964513"/>
      <w:bookmarkStart w:id="51" w:name="_Toc29099"/>
      <w:bookmarkStart w:id="52" w:name="_Toc48050152"/>
      <w:bookmarkStart w:id="53" w:name="_Toc122448157"/>
      <w:bookmarkStart w:id="54" w:name="_Toc47973432"/>
      <w:bookmarkStart w:id="55" w:name="_Toc51147913"/>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67"/>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67"/>
      </w:pPr>
      <w:r>
        <w:rPr>
          <w:rFonts w:hint="eastAsia"/>
        </w:rPr>
        <w:t>GB/T 17141  土壤质量 铅、镉的测定 石墨炉原子吸收分光光度法</w:t>
      </w:r>
    </w:p>
    <w:p>
      <w:pPr>
        <w:pStyle w:val="67"/>
      </w:pPr>
      <w:r>
        <w:rPr>
          <w:rFonts w:hint="eastAsia"/>
        </w:rPr>
        <w:t>GB/T 22105.1  土壤质量 总汞、总砷、总铅的测定 原子荧光法 第1部分：土壤中总汞的测定</w:t>
      </w:r>
    </w:p>
    <w:p>
      <w:pPr>
        <w:pStyle w:val="67"/>
      </w:pPr>
      <w:r>
        <w:rPr>
          <w:rFonts w:hint="eastAsia"/>
        </w:rPr>
        <w:t>GB/T 22105.2  土壤质量 总汞、总砷、总铅的测定 原子荧光法 第2部分：土壤中总砷的测定</w:t>
      </w:r>
    </w:p>
    <w:p>
      <w:pPr>
        <w:pStyle w:val="67"/>
      </w:pPr>
      <w:r>
        <w:rPr>
          <w:rFonts w:hint="eastAsia"/>
        </w:rPr>
        <w:t>HJ 491  土壤和沉积物 铜、锌、铅、镍、铬的测定 火焰原子吸收分光光度法</w:t>
      </w:r>
    </w:p>
    <w:p>
      <w:pPr>
        <w:pStyle w:val="67"/>
      </w:pPr>
      <w:r>
        <w:rPr>
          <w:rFonts w:hint="eastAsia"/>
        </w:rPr>
        <w:t>HJ 680  土壤和沉积物 汞、砷、硒、铋、锑的测定 微波消解/原子荧光法</w:t>
      </w:r>
    </w:p>
    <w:p>
      <w:pPr>
        <w:pStyle w:val="67"/>
      </w:pPr>
      <w:r>
        <w:rPr>
          <w:rFonts w:hint="eastAsia"/>
        </w:rPr>
        <w:t>HJ 803  土壤和沉积物 12 种金属元素的测定 王水提取-电感耦合等离子体质谱法</w:t>
      </w:r>
    </w:p>
    <w:p>
      <w:pPr>
        <w:pStyle w:val="67"/>
      </w:pPr>
      <w:r>
        <w:rPr>
          <w:rFonts w:hint="eastAsia"/>
        </w:rPr>
        <w:t>HJ 923  土壤和沉积物 总汞的测定 催化热解-冷原子吸收分光光度法</w:t>
      </w:r>
    </w:p>
    <w:p>
      <w:pPr>
        <w:pStyle w:val="67"/>
      </w:pPr>
      <w:r>
        <w:rPr>
          <w:rFonts w:hint="eastAsia"/>
        </w:rPr>
        <w:t>HJ 1185  区域性土壤环境背景含量统计技术导则</w:t>
      </w:r>
    </w:p>
    <w:p>
      <w:pPr>
        <w:pStyle w:val="67"/>
      </w:pPr>
      <w:r>
        <w:rPr>
          <w:rFonts w:hint="eastAsia"/>
        </w:rPr>
        <w:t>HJ 1315  土壤和沉积物 19种金属元素总量的测定 电感耦合等离子体质谱法</w:t>
      </w:r>
    </w:p>
    <w:p>
      <w:pPr>
        <w:pStyle w:val="82"/>
      </w:pPr>
      <w:bookmarkStart w:id="56" w:name="_Toc67401899"/>
      <w:bookmarkStart w:id="57" w:name="_Toc87811225"/>
      <w:bookmarkStart w:id="58" w:name="_Toc115339703"/>
      <w:bookmarkStart w:id="59" w:name="_Toc122448158"/>
      <w:bookmarkStart w:id="60" w:name="_Toc67393171"/>
      <w:bookmarkStart w:id="61" w:name="_Toc164415074"/>
      <w:bookmarkStart w:id="62" w:name="_Toc87811370"/>
      <w:r>
        <w:rPr>
          <w:rFonts w:hint="eastAsia"/>
        </w:rPr>
        <w:t>术语和定义</w:t>
      </w:r>
      <w:bookmarkEnd w:id="56"/>
      <w:bookmarkEnd w:id="57"/>
      <w:bookmarkEnd w:id="58"/>
      <w:bookmarkEnd w:id="59"/>
      <w:bookmarkEnd w:id="60"/>
      <w:bookmarkEnd w:id="61"/>
      <w:bookmarkEnd w:id="62"/>
    </w:p>
    <w:p>
      <w:pPr>
        <w:pStyle w:val="67"/>
      </w:pPr>
      <w:r>
        <w:rPr>
          <w:rFonts w:hint="eastAsia"/>
        </w:rPr>
        <w:t>GB 15618、GB36600、GB 50068、HJ 1185界定的以及下列术语和定义适用于本文件。</w:t>
      </w:r>
    </w:p>
    <w:p>
      <w:pPr>
        <w:pStyle w:val="79"/>
      </w:pPr>
    </w:p>
    <w:p>
      <w:pPr>
        <w:pStyle w:val="67"/>
        <w:ind w:left="420" w:firstLine="0" w:firstLineChars="0"/>
        <w:rPr>
          <w:rFonts w:ascii="黑体" w:hAnsi="黑体" w:eastAsia="黑体"/>
          <w:szCs w:val="22"/>
        </w:rPr>
      </w:pPr>
      <w:r>
        <w:rPr>
          <w:rFonts w:hint="eastAsia" w:ascii="黑体" w:hAnsi="黑体" w:eastAsia="黑体"/>
          <w:szCs w:val="22"/>
        </w:rPr>
        <w:t>土壤</w:t>
      </w:r>
      <w:r>
        <w:rPr>
          <w:rFonts w:ascii="黑体" w:hAnsi="黑体" w:eastAsia="黑体"/>
          <w:szCs w:val="22"/>
        </w:rPr>
        <w:t xml:space="preserve"> </w:t>
      </w:r>
      <w:r>
        <w:rPr>
          <w:rFonts w:hint="eastAsia" w:ascii="黑体" w:hAnsi="黑体" w:eastAsia="黑体"/>
          <w:szCs w:val="22"/>
        </w:rPr>
        <w:t xml:space="preserve"> </w:t>
      </w:r>
      <w:r>
        <w:rPr>
          <w:rFonts w:ascii="黑体" w:hAnsi="黑体" w:eastAsia="黑体"/>
          <w:szCs w:val="22"/>
        </w:rPr>
        <w:t>soil</w:t>
      </w:r>
    </w:p>
    <w:p>
      <w:pPr>
        <w:pStyle w:val="67"/>
      </w:pPr>
      <w:r>
        <w:rPr>
          <w:rFonts w:hint="eastAsia"/>
        </w:rPr>
        <w:t>位于陆地表层能够生长植物的疏松多孔物质层及其相关自然地理要素的综合体。</w:t>
      </w:r>
    </w:p>
    <w:p>
      <w:pPr>
        <w:pStyle w:val="67"/>
      </w:pPr>
      <w:r>
        <w:rPr>
          <w:rFonts w:hint="eastAsia"/>
        </w:rPr>
        <w:t>［来源：GB 15618—2018，3.1］</w:t>
      </w:r>
    </w:p>
    <w:p>
      <w:pPr>
        <w:pStyle w:val="79"/>
      </w:pPr>
      <w:bookmarkStart w:id="63" w:name="_Toc500938708"/>
      <w:bookmarkEnd w:id="63"/>
      <w:bookmarkStart w:id="64" w:name="_Toc500955126"/>
      <w:bookmarkEnd w:id="64"/>
      <w:bookmarkStart w:id="65" w:name="_Toc67393172"/>
      <w:bookmarkEnd w:id="65"/>
      <w:bookmarkStart w:id="66" w:name="_Toc67401900"/>
      <w:bookmarkEnd w:id="66"/>
      <w:bookmarkStart w:id="67" w:name="_Toc87811371"/>
      <w:bookmarkEnd w:id="67"/>
      <w:bookmarkStart w:id="68" w:name="_Toc87811226"/>
      <w:bookmarkEnd w:id="68"/>
      <w:bookmarkStart w:id="69" w:name="_Toc502157201"/>
      <w:bookmarkEnd w:id="69"/>
    </w:p>
    <w:p>
      <w:pPr>
        <w:pStyle w:val="67"/>
        <w:rPr>
          <w:rFonts w:ascii="黑体" w:hAnsi="黑体" w:eastAsia="黑体"/>
        </w:rPr>
      </w:pPr>
      <w:r>
        <w:rPr>
          <w:rFonts w:hint="eastAsia" w:ascii="黑体" w:hAnsi="黑体" w:eastAsia="黑体"/>
        </w:rPr>
        <w:t>土壤环境背景含量  environmental background contents of soil</w:t>
      </w:r>
    </w:p>
    <w:p>
      <w:pPr>
        <w:pStyle w:val="67"/>
      </w:pPr>
      <w:r>
        <w:rPr>
          <w:rFonts w:hint="eastAsia"/>
        </w:rPr>
        <w:t>在一定时间条件下，仅受地球化学过程和非点源输入影响的土壤中元素或化合物的含量。</w:t>
      </w:r>
    </w:p>
    <w:p>
      <w:pPr>
        <w:pStyle w:val="67"/>
        <w:rPr>
          <w:rFonts w:hAnsi="宋体" w:cs="宋体"/>
          <w:sz w:val="18"/>
          <w:szCs w:val="18"/>
        </w:rPr>
      </w:pPr>
      <w:r>
        <w:rPr>
          <w:rFonts w:hint="eastAsia"/>
        </w:rPr>
        <w:t>[来源：HJ 1185—2021，3.1]</w:t>
      </w:r>
    </w:p>
    <w:p>
      <w:pPr>
        <w:pStyle w:val="79"/>
      </w:pPr>
    </w:p>
    <w:p>
      <w:pPr>
        <w:pStyle w:val="67"/>
        <w:rPr>
          <w:rFonts w:ascii="黑体" w:hAnsi="黑体" w:eastAsia="黑体"/>
        </w:rPr>
      </w:pPr>
      <w:r>
        <w:rPr>
          <w:rFonts w:hint="eastAsia" w:ascii="黑体" w:hAnsi="黑体" w:eastAsia="黑体"/>
        </w:rPr>
        <w:t>土壤环境背景值  environmental background values of soil</w:t>
      </w:r>
    </w:p>
    <w:p>
      <w:pPr>
        <w:pStyle w:val="18"/>
        <w:spacing w:line="240" w:lineRule="auto"/>
        <w:rPr>
          <w:color w:val="000000"/>
          <w:szCs w:val="21"/>
        </w:rPr>
      </w:pPr>
      <w:r>
        <w:rPr>
          <w:rFonts w:hint="eastAsia"/>
          <w:color w:val="000000"/>
          <w:szCs w:val="21"/>
        </w:rPr>
        <w:t>基于土壤环境背景含量的统计值。通常以土壤环境背景含量的某一分位值表示。其中土壤环境背景含量是指在一定时间条件下，仅受地球化学过程和非点源输入影响的土壤中元素或化合物的含量。</w:t>
      </w:r>
    </w:p>
    <w:p>
      <w:pPr>
        <w:pStyle w:val="18"/>
        <w:spacing w:line="240" w:lineRule="auto"/>
        <w:rPr>
          <w:rFonts w:ascii="黑体" w:hAnsi="黑体"/>
          <w:color w:val="000000"/>
          <w:szCs w:val="22"/>
        </w:rPr>
      </w:pPr>
      <w:r>
        <w:rPr>
          <w:szCs w:val="21"/>
        </w:rPr>
        <w:t>[</w:t>
      </w:r>
      <w:r>
        <w:rPr>
          <w:rFonts w:hint="eastAsia"/>
          <w:szCs w:val="21"/>
        </w:rPr>
        <w:t>来源：GB</w:t>
      </w:r>
      <w:r>
        <w:rPr>
          <w:szCs w:val="21"/>
        </w:rPr>
        <w:t xml:space="preserve"> 36600</w:t>
      </w:r>
      <w:r>
        <w:rPr>
          <w:rFonts w:hint="eastAsia"/>
          <w:color w:val="000000"/>
        </w:rPr>
        <w:t>—</w:t>
      </w:r>
      <w:r>
        <w:rPr>
          <w:szCs w:val="21"/>
        </w:rPr>
        <w:t>2018</w:t>
      </w:r>
      <w:r>
        <w:rPr>
          <w:rFonts w:hint="eastAsia"/>
          <w:szCs w:val="21"/>
        </w:rPr>
        <w:t>，</w:t>
      </w:r>
      <w:r>
        <w:rPr>
          <w:szCs w:val="21"/>
        </w:rPr>
        <w:t>3.6]</w:t>
      </w:r>
    </w:p>
    <w:p>
      <w:pPr>
        <w:pStyle w:val="79"/>
      </w:pPr>
    </w:p>
    <w:p>
      <w:pPr>
        <w:pStyle w:val="67"/>
        <w:rPr>
          <w:rFonts w:ascii="黑体" w:hAnsi="黑体" w:eastAsia="黑体"/>
        </w:rPr>
      </w:pPr>
      <w:r>
        <w:rPr>
          <w:rFonts w:hint="eastAsia" w:ascii="黑体" w:hAnsi="黑体" w:eastAsia="黑体"/>
        </w:rPr>
        <w:t xml:space="preserve">土壤类型  </w:t>
      </w:r>
      <w:r>
        <w:rPr>
          <w:rFonts w:ascii="黑体" w:hAnsi="黑体" w:eastAsia="黑体"/>
        </w:rPr>
        <w:t>soil type</w:t>
      </w:r>
    </w:p>
    <w:p>
      <w:pPr>
        <w:pStyle w:val="83"/>
      </w:pPr>
      <w:r>
        <w:rPr>
          <w:rFonts w:hint="eastAsia"/>
        </w:rPr>
        <w:t>根据成土因素、成土过程及土壤属性的不同所划分的土壤种类，是具有一定地理发生特点和重要生产、生态意义的各类土壤的总称。</w:t>
      </w:r>
    </w:p>
    <w:p>
      <w:pPr>
        <w:pStyle w:val="79"/>
      </w:pPr>
    </w:p>
    <w:p>
      <w:pPr>
        <w:pStyle w:val="67"/>
        <w:rPr>
          <w:rFonts w:ascii="黑体" w:hAnsi="黑体" w:eastAsia="黑体"/>
        </w:rPr>
      </w:pPr>
      <w:r>
        <w:rPr>
          <w:rFonts w:hint="eastAsia" w:ascii="黑体" w:hAnsi="黑体" w:eastAsia="黑体"/>
        </w:rPr>
        <w:t>成土母质  parent materials</w:t>
      </w:r>
    </w:p>
    <w:p>
      <w:pPr>
        <w:pStyle w:val="83"/>
      </w:pPr>
      <w:r>
        <w:rPr>
          <w:rFonts w:hint="eastAsia"/>
        </w:rPr>
        <w:t>地表岩石经风化作用形成的松散风化物，是土壤形成的物质基础和植物矿物养分元素（除氮外）的最初来源。根据生物气候条件、人为因素等成土条件和成土过程以及剖面形态、土壤属性划分。</w:t>
      </w:r>
    </w:p>
    <w:p>
      <w:pPr>
        <w:pStyle w:val="79"/>
      </w:pPr>
    </w:p>
    <w:p>
      <w:pPr>
        <w:pStyle w:val="67"/>
        <w:rPr>
          <w:rFonts w:ascii="黑体" w:hAnsi="黑体" w:eastAsia="黑体"/>
        </w:rPr>
      </w:pPr>
      <w:r>
        <w:rPr>
          <w:rFonts w:hint="eastAsia" w:ascii="黑体" w:hAnsi="黑体" w:eastAsia="黑体"/>
        </w:rPr>
        <w:t>地貌  landforms</w:t>
      </w:r>
    </w:p>
    <w:p>
      <w:pPr>
        <w:pStyle w:val="83"/>
      </w:pPr>
      <w:r>
        <w:rPr>
          <w:rFonts w:hint="eastAsia"/>
        </w:rPr>
        <w:t>地球表面各种形态的总称，也称为地形。</w:t>
      </w:r>
    </w:p>
    <w:p>
      <w:pPr>
        <w:pStyle w:val="79"/>
      </w:pPr>
    </w:p>
    <w:p>
      <w:pPr>
        <w:pStyle w:val="67"/>
        <w:rPr>
          <w:rFonts w:ascii="黑体" w:hAnsi="黑体" w:eastAsia="黑体"/>
        </w:rPr>
      </w:pPr>
      <w:r>
        <w:rPr>
          <w:rFonts w:hint="eastAsia" w:ascii="黑体" w:hAnsi="黑体" w:eastAsia="黑体"/>
        </w:rPr>
        <w:t>分位值  fractile</w:t>
      </w:r>
    </w:p>
    <w:p>
      <w:pPr>
        <w:pStyle w:val="83"/>
      </w:pPr>
      <w:r>
        <w:rPr>
          <w:rFonts w:hint="eastAsia"/>
        </w:rPr>
        <w:t>与随机变量概率分布函数的某一概率相应的值。</w:t>
      </w:r>
    </w:p>
    <w:p>
      <w:pPr>
        <w:pStyle w:val="83"/>
      </w:pPr>
      <w:r>
        <w:rPr>
          <w:rFonts w:hint="eastAsia"/>
        </w:rPr>
        <w:t>[来源：GB 50068—2018，2.1.31]</w:t>
      </w:r>
    </w:p>
    <w:p>
      <w:pPr>
        <w:pStyle w:val="82"/>
      </w:pPr>
      <w:bookmarkStart w:id="70" w:name="_Toc164415075"/>
      <w:r>
        <w:rPr>
          <w:rFonts w:hint="eastAsia"/>
        </w:rPr>
        <w:t>土壤环境背景值</w:t>
      </w:r>
      <w:bookmarkEnd w:id="70"/>
    </w:p>
    <w:p>
      <w:pPr>
        <w:pStyle w:val="81"/>
        <w:spacing w:before="156" w:after="156"/>
      </w:pPr>
      <w:bookmarkStart w:id="71" w:name="_Toc164415076"/>
      <w:bookmarkStart w:id="72" w:name="_Toc500938711"/>
      <w:bookmarkStart w:id="73" w:name="_Toc67393179"/>
      <w:bookmarkStart w:id="74" w:name="_Toc500955133"/>
      <w:bookmarkStart w:id="75" w:name="_Toc502157208"/>
      <w:r>
        <w:rPr>
          <w:rFonts w:hint="eastAsia"/>
        </w:rPr>
        <w:t>土壤环境背景含量基本统计量</w:t>
      </w:r>
      <w:bookmarkEnd w:id="71"/>
    </w:p>
    <w:p>
      <w:pPr>
        <w:pStyle w:val="83"/>
        <w:ind w:firstLine="0" w:firstLineChars="0"/>
      </w:pPr>
      <w:r>
        <w:rPr>
          <w:rFonts w:hint="eastAsia" w:ascii="黑体" w:hAnsi="黑体" w:eastAsia="黑体"/>
        </w:rPr>
        <w:t xml:space="preserve">4.1.1  </w:t>
      </w:r>
      <w:r>
        <w:rPr>
          <w:rFonts w:hint="eastAsia"/>
        </w:rPr>
        <w:t>根据苏州市不同元素土壤环境背景含量空间分布特征，通过土壤类型、成土母质和地貌类型等主导影响因素分析，确定县级行政区及地貌类型组合为镉、汞、砷、铅、铬、铜、锌、镍、钴、钒、锰、硒12种元素的土壤环境背景含量的统计单元。行政区及地貌类型的空间分布见附录A中图A.1。</w:t>
      </w:r>
    </w:p>
    <w:p>
      <w:pPr>
        <w:pStyle w:val="83"/>
        <w:ind w:firstLine="0" w:firstLineChars="0"/>
      </w:pPr>
      <w:r>
        <w:rPr>
          <w:rFonts w:hint="eastAsia" w:ascii="黑体" w:hAnsi="黑体" w:eastAsia="黑体"/>
        </w:rPr>
        <w:t xml:space="preserve">4.1.2  </w:t>
      </w:r>
      <w:r>
        <w:rPr>
          <w:rFonts w:hint="eastAsia"/>
        </w:rPr>
        <w:t>张家港市、常熟市、太仓市、昆山市、吴江区、吴中区、相城区、姑苏区、苏州工业园区和虎丘区（高新区）相应地貌类型的12种元素土壤环境背景含量基本统计量见附录B中表B.1</w:t>
      </w:r>
      <w:r>
        <w:rPr>
          <w:rFonts w:ascii="Times New Roman"/>
        </w:rPr>
        <w:t>~</w:t>
      </w:r>
      <w:r>
        <w:rPr>
          <w:rFonts w:hint="eastAsia"/>
        </w:rPr>
        <w:t>表B.10。</w:t>
      </w:r>
    </w:p>
    <w:p>
      <w:pPr>
        <w:pStyle w:val="81"/>
        <w:spacing w:before="156" w:after="156"/>
      </w:pPr>
      <w:bookmarkStart w:id="76" w:name="_Toc164415077"/>
      <w:bookmarkStart w:id="77" w:name="_Toc67401904"/>
      <w:r>
        <w:rPr>
          <w:rFonts w:hint="eastAsia"/>
        </w:rPr>
        <w:t>土壤环境背景值的确定和使用</w:t>
      </w:r>
      <w:bookmarkEnd w:id="76"/>
    </w:p>
    <w:p>
      <w:pPr>
        <w:pStyle w:val="84"/>
        <w:ind w:firstLine="0" w:firstLineChars="0"/>
        <w:rPr>
          <w:rFonts w:ascii="黑体" w:hAnsi="黑体" w:eastAsia="黑体" w:cs="黑体"/>
        </w:rPr>
      </w:pPr>
      <w:r>
        <w:rPr>
          <w:rFonts w:hint="eastAsia" w:ascii="黑体" w:hAnsi="黑体" w:eastAsia="黑体"/>
        </w:rPr>
        <w:t xml:space="preserve">4.2.1  </w:t>
      </w:r>
      <w:r>
        <w:rPr>
          <w:rFonts w:hint="eastAsia"/>
        </w:rPr>
        <w:t>数据分布为正态分布时，以算术平均值（</w:t>
      </w:r>
      <m:oMath>
        <m:acc>
          <m:accPr>
            <m:chr m:val="̅"/>
            <m:ctrlPr>
              <w:rPr>
                <w:rFonts w:ascii="Cambria Math" w:hAnsi="Cambria Math"/>
                <w:i/>
              </w:rPr>
            </m:ctrlPr>
          </m:accPr>
          <m:e>
            <m:r>
              <m:rPr/>
              <w:rPr>
                <w:rFonts w:ascii="Cambria Math"/>
              </w:rPr>
              <m:t>x</m:t>
            </m:r>
            <m:ctrlPr>
              <w:rPr>
                <w:rFonts w:ascii="Cambria Math" w:hAnsi="Cambria Math"/>
                <w:i/>
              </w:rPr>
            </m:ctrlPr>
          </m:e>
        </m:acc>
      </m:oMath>
      <w:r>
        <w:rPr>
          <w:rFonts w:hint="eastAsia"/>
        </w:rPr>
        <w:t>）+2倍算术标准差（</w:t>
      </w:r>
      <w:r>
        <w:rPr>
          <w:rFonts w:hint="eastAsia"/>
          <w:i/>
          <w:iCs/>
        </w:rPr>
        <w:t>S</w:t>
      </w:r>
      <w:r>
        <w:rPr>
          <w:rFonts w:hint="eastAsia"/>
        </w:rPr>
        <w:t>）作为土壤环境背景值；数据分布为对数正态分布时，以几何平均值（</w:t>
      </w:r>
      <w:r>
        <w:rPr>
          <w:rFonts w:hint="eastAsia"/>
          <w:i/>
          <w:iCs/>
        </w:rPr>
        <w:t>M</w:t>
      </w:r>
      <w:r>
        <w:rPr>
          <w:rFonts w:hint="eastAsia"/>
        </w:rPr>
        <w:t>）乘以几何标准差（</w:t>
      </w:r>
      <w:r>
        <w:rPr>
          <w:rFonts w:hint="eastAsia"/>
          <w:i/>
          <w:iCs/>
        </w:rPr>
        <w:t>D</w:t>
      </w:r>
      <w:r>
        <w:rPr>
          <w:rFonts w:hint="eastAsia"/>
        </w:rPr>
        <w:t>）的平方（</w:t>
      </w:r>
      <w:r>
        <w:rPr>
          <w:rFonts w:hint="eastAsia"/>
          <w:i/>
          <w:iCs/>
        </w:rPr>
        <w:t>M×D</w:t>
      </w:r>
      <w:r>
        <w:rPr>
          <w:rFonts w:hint="eastAsia"/>
          <w:vertAlign w:val="superscript"/>
        </w:rPr>
        <w:t>2</w:t>
      </w:r>
      <w:r>
        <w:rPr>
          <w:rFonts w:hint="eastAsia"/>
        </w:rPr>
        <w:t>）作为土壤环境背景值；数据分布为偏态分布时，以土壤环境背景含量顺序统计量的 95%分位值作为土壤环境背景值。如国家出台确定土壤环境背景值的具体规定，则按照国家有关要求执行。</w:t>
      </w:r>
      <w:r>
        <mc:AlternateContent>
          <mc:Choice Requires="wps">
            <w:drawing>
              <wp:anchor distT="0" distB="0" distL="114300" distR="114300" simplePos="0" relativeHeight="251663360" behindDoc="0" locked="0" layoutInCell="1" allowOverlap="1">
                <wp:simplePos x="0" y="0"/>
                <wp:positionH relativeFrom="column">
                  <wp:posOffset>1701800</wp:posOffset>
                </wp:positionH>
                <wp:positionV relativeFrom="paragraph">
                  <wp:posOffset>4748530</wp:posOffset>
                </wp:positionV>
                <wp:extent cx="2813050" cy="514985"/>
                <wp:effectExtent l="631190" t="4445" r="22860" b="13970"/>
                <wp:wrapNone/>
                <wp:docPr id="23" name="自选图形 22"/>
                <wp:cNvGraphicFramePr/>
                <a:graphic xmlns:a="http://schemas.openxmlformats.org/drawingml/2006/main">
                  <a:graphicData uri="http://schemas.microsoft.com/office/word/2010/wordprocessingShape">
                    <wps:wsp>
                      <wps:cNvSpPr/>
                      <wps:spPr>
                        <a:xfrm>
                          <a:off x="0" y="0"/>
                          <a:ext cx="2813050" cy="514985"/>
                        </a:xfrm>
                        <a:prstGeom prst="wedgeRoundRectCallout">
                          <a:avLst>
                            <a:gd name="adj1" fmla="val -71083"/>
                            <a:gd name="adj2" fmla="val 2718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pStyle w:val="88"/>
                            </w:pPr>
                            <w:r>
                              <w:rPr>
                                <w:rFonts w:hint="eastAsia"/>
                                <w:color w:val="0000FF"/>
                                <w:u w:val="single"/>
                              </w:rPr>
                              <w:t>二级标题：1倍行距，段前1行，段后1行。用后删除此框</w:t>
                            </w:r>
                            <w:r>
                              <w:rPr>
                                <w:rFonts w:hint="eastAsia"/>
                              </w:rPr>
                              <w:t>。</w:t>
                            </w:r>
                          </w:p>
                        </w:txbxContent>
                      </wps:txbx>
                      <wps:bodyPr wrap="square" upright="true"/>
                    </wps:wsp>
                  </a:graphicData>
                </a:graphic>
              </wp:anchor>
            </w:drawing>
          </mc:Choice>
          <mc:Fallback>
            <w:pict>
              <v:shape id="自选图形 22" o:spid="_x0000_s1026" o:spt="62" type="#_x0000_t62" style="position:absolute;left:0pt;margin-left:134pt;margin-top:373.9pt;height:40.55pt;width:221.5pt;z-index:251663360;mso-width-relative:page;mso-height-relative:page;" fillcolor="#FFFFFF" filled="t" stroked="t" coordsize="21600,21600" o:gfxdata="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WAAAAZHJzL1BLAQIUABQAAAAIAIdO4kC8r2dV2gAAAAsB&#10;AAAPAAAAAAAAAAEAIAAAADgAAABkcnMvZG93bnJldi54bWxQSwECFAAUAAAACACHTuJAsPIsKjwC&#10;AAB7BAAADgAAAAAAAAABACAAAAA/AQAAZHJzL2Uyb0RvYy54bWxQSwUGAAAAAAYABgBZAQAA7QUA&#10;AAAA&#10;" adj="-4554,16673,14400">
                <v:fill on="t" focussize="0,0"/>
                <v:stroke color="#FF0000" joinstyle="miter"/>
                <v:imagedata o:title=""/>
                <o:lock v:ext="edit" aspectratio="f"/>
                <v:textbox>
                  <w:txbxContent>
                    <w:p>
                      <w:pPr>
                        <w:pStyle w:val="88"/>
                      </w:pPr>
                      <w:r>
                        <w:rPr>
                          <w:rFonts w:hint="eastAsia"/>
                          <w:color w:val="0000FF"/>
                          <w:u w:val="single"/>
                        </w:rPr>
                        <w:t>二级标题：1倍行距，段前1行，段后1行。用后删除此框</w:t>
                      </w:r>
                      <w:r>
                        <w:rPr>
                          <w:rFonts w:hint="eastAsia"/>
                        </w:rPr>
                        <w:t>。</w:t>
                      </w:r>
                    </w:p>
                  </w:txbxContent>
                </v:textbox>
              </v:shape>
            </w:pict>
          </mc:Fallback>
        </mc:AlternateContent>
      </w:r>
    </w:p>
    <w:p>
      <w:pPr>
        <w:pStyle w:val="84"/>
        <w:ind w:firstLine="0" w:firstLineChars="0"/>
      </w:pPr>
      <w:r>
        <w:rPr>
          <w:rFonts w:hint="eastAsia" w:ascii="黑体" w:hAnsi="黑体" w:eastAsia="黑体"/>
        </w:rPr>
        <w:t xml:space="preserve">4.2.2  </w:t>
      </w:r>
      <w:r>
        <w:rPr>
          <w:rFonts w:hint="eastAsia"/>
        </w:rPr>
        <w:t>按照评价区域的空间地理位置，依据附录A（苏州市行政区及地貌类型分布图）确定其行政区及地貌类型，从表1</w:t>
      </w:r>
      <w:r>
        <w:rPr>
          <w:rFonts w:ascii="Times New Roman"/>
        </w:rPr>
        <w:t>~</w:t>
      </w:r>
      <w:r>
        <w:rPr>
          <w:rFonts w:hint="eastAsia"/>
        </w:rPr>
        <w:t>表10中选定对应的土壤环境背景值。苏州市整体的土壤环境背景值可参见附录B中表B.11。</w:t>
      </w:r>
    </w:p>
    <w:p>
      <w:pPr>
        <w:pStyle w:val="84"/>
        <w:ind w:firstLine="0" w:firstLineChars="0"/>
      </w:pPr>
      <w:r>
        <w:rPr>
          <w:rFonts w:hint="eastAsia" w:ascii="黑体" w:hAnsi="黑体" w:eastAsia="黑体"/>
        </w:rPr>
        <w:t xml:space="preserve">4.2.3  </w:t>
      </w:r>
      <w:r>
        <w:rPr>
          <w:rFonts w:hint="eastAsia"/>
        </w:rPr>
        <w:t>本</w:t>
      </w:r>
      <w:r>
        <w:rPr>
          <w:rFonts w:hint="eastAsia"/>
          <w:lang w:eastAsia="zh-CN"/>
        </w:rPr>
        <w:t>文件</w:t>
      </w:r>
      <w:bookmarkStart w:id="102" w:name="_GoBack"/>
      <w:bookmarkEnd w:id="102"/>
      <w:r>
        <w:rPr>
          <w:rFonts w:hint="eastAsia"/>
        </w:rPr>
        <w:t>提出的土壤环境背景值可作为区域性土壤环境质量评价的参考依据。土壤中元素含量等于或者低于背景值的，表明土壤环境质量保持自然背景水平；超过背景值的，可能受到人为活动或外来污染的影响。</w:t>
      </w:r>
    </w:p>
    <w:bookmarkEnd w:id="72"/>
    <w:bookmarkEnd w:id="73"/>
    <w:bookmarkEnd w:id="74"/>
    <w:bookmarkEnd w:id="75"/>
    <w:bookmarkEnd w:id="77"/>
    <w:p>
      <w:pPr>
        <w:pStyle w:val="82"/>
      </w:pPr>
      <w:bookmarkStart w:id="78" w:name="_Toc164415078"/>
      <w:r>
        <w:rPr>
          <w:rFonts w:hint="eastAsia"/>
        </w:rPr>
        <w:t>检测方法</w:t>
      </w:r>
      <w:bookmarkEnd w:id="78"/>
    </w:p>
    <w:p>
      <w:pPr>
        <w:pStyle w:val="83"/>
      </w:pPr>
      <w:r>
        <w:rPr>
          <w:rFonts w:hint="eastAsia"/>
        </w:rPr>
        <w:t>本文件按附录C表C.1的要求采用相应的方法检测土壤相关元素的含量，也可采用经国务院生态环境主管部门确认的其他等效方法。</w:t>
      </w:r>
    </w:p>
    <w:p>
      <w:pPr>
        <w:pStyle w:val="67"/>
      </w:pPr>
    </w:p>
    <w:p>
      <w:pPr>
        <w:pStyle w:val="67"/>
        <w:sectPr>
          <w:headerReference r:id="rId15" w:type="default"/>
          <w:footerReference r:id="rId17" w:type="default"/>
          <w:headerReference r:id="rId16" w:type="even"/>
          <w:footerReference r:id="rId18" w:type="even"/>
          <w:pgSz w:w="11906" w:h="16838"/>
          <w:pgMar w:top="1417" w:right="1134" w:bottom="1134" w:left="1418" w:header="1417" w:footer="1134" w:gutter="0"/>
          <w:pgNumType w:start="1"/>
          <w:cols w:space="425" w:num="1"/>
          <w:docGrid w:type="lines" w:linePitch="312" w:charSpace="0"/>
        </w:sectPr>
      </w:pPr>
    </w:p>
    <w:p>
      <w:pPr>
        <w:pStyle w:val="7"/>
        <w:adjustRightInd w:val="0"/>
        <w:snapToGrid w:val="0"/>
        <w:spacing w:before="567"/>
        <w:ind w:firstLine="0"/>
        <w:jc w:val="center"/>
        <w:outlineLvl w:val="0"/>
        <w:rPr>
          <w:rFonts w:ascii="黑体" w:hAnsi="黑体" w:eastAsia="黑体" w:cs="黑体"/>
          <w:szCs w:val="21"/>
        </w:rPr>
      </w:pPr>
      <w:bookmarkStart w:id="79" w:name="_Toc164415079"/>
      <w:bookmarkStart w:id="80" w:name="_Toc27120"/>
      <w:r>
        <w:rPr>
          <w:rFonts w:hint="eastAsia" w:ascii="黑体" w:hAnsi="黑体" w:eastAsia="黑体" w:cs="黑体"/>
          <w:szCs w:val="21"/>
        </w:rPr>
        <w:t>附  录  A</w:t>
      </w:r>
      <w:bookmarkEnd w:id="79"/>
      <w:bookmarkEnd w:id="80"/>
    </w:p>
    <w:p>
      <w:pPr>
        <w:pStyle w:val="8"/>
        <w:jc w:val="center"/>
        <w:outlineLvl w:val="0"/>
        <w:rPr>
          <w:rFonts w:ascii="黑体" w:hAnsi="黑体" w:eastAsia="黑体" w:cs="黑体"/>
          <w:sz w:val="21"/>
          <w:szCs w:val="21"/>
        </w:rPr>
      </w:pPr>
      <w:bookmarkStart w:id="81" w:name="_Toc21414"/>
      <w:bookmarkStart w:id="82" w:name="_Toc164415080"/>
      <w:bookmarkStart w:id="83" w:name="_Toc23324"/>
      <w:r>
        <w:rPr>
          <w:rFonts w:hint="eastAsia" w:ascii="黑体" w:hAnsi="黑体" w:eastAsia="黑体" w:cs="黑体"/>
          <w:sz w:val="21"/>
          <w:szCs w:val="21"/>
        </w:rPr>
        <w:t>（规范性）</w:t>
      </w:r>
      <w:bookmarkEnd w:id="81"/>
      <w:bookmarkEnd w:id="82"/>
      <w:bookmarkEnd w:id="83"/>
    </w:p>
    <w:p>
      <w:pPr>
        <w:pStyle w:val="8"/>
        <w:adjustRightInd w:val="0"/>
        <w:spacing w:after="283"/>
        <w:jc w:val="center"/>
        <w:outlineLvl w:val="0"/>
        <w:rPr>
          <w:rFonts w:ascii="黑体" w:hAnsi="黑体" w:eastAsia="黑体"/>
          <w:color w:val="000000"/>
          <w:sz w:val="21"/>
          <w:szCs w:val="21"/>
        </w:rPr>
      </w:pPr>
      <w:bookmarkStart w:id="84" w:name="_Toc164415081"/>
      <w:bookmarkStart w:id="85" w:name="_Toc13971"/>
      <w:r>
        <w:rPr>
          <w:rFonts w:hint="eastAsia" w:ascii="黑体" w:hAnsi="黑体" w:eastAsia="黑体"/>
          <w:color w:val="000000"/>
          <w:sz w:val="21"/>
          <w:szCs w:val="21"/>
        </w:rPr>
        <w:t>苏州市行政区及地貌类型分布图</w:t>
      </w:r>
      <w:bookmarkEnd w:id="84"/>
      <w:bookmarkEnd w:id="85"/>
    </w:p>
    <w:p>
      <w:pPr>
        <w:pStyle w:val="89"/>
        <w:numPr>
          <w:ilvl w:val="1"/>
          <w:numId w:val="0"/>
        </w:numPr>
        <w:spacing w:before="156" w:after="156"/>
      </w:pPr>
      <w:bookmarkStart w:id="86" w:name="_Toc13585"/>
      <w:bookmarkStart w:id="87" w:name="_Toc6393"/>
      <w:bookmarkStart w:id="88" w:name="_Toc164415082"/>
      <w:r>
        <w:rPr>
          <w:rFonts w:hint="eastAsia"/>
        </w:rPr>
        <w:t>A.1　苏州市行政区及地貌类型分布图</w:t>
      </w:r>
      <w:bookmarkEnd w:id="86"/>
      <w:bookmarkEnd w:id="87"/>
      <w:bookmarkEnd w:id="88"/>
    </w:p>
    <w:p>
      <w:pPr>
        <w:pStyle w:val="83"/>
      </w:pPr>
      <w:r>
        <w:rPr>
          <w:rFonts w:hint="eastAsia"/>
        </w:rPr>
        <w:t>苏州市行政区及地貌类型分布图见图A.1。</w:t>
      </w:r>
    </w:p>
    <w:p>
      <w:pPr>
        <w:pStyle w:val="83"/>
        <w:ind w:firstLine="0" w:firstLineChars="0"/>
      </w:pPr>
      <w:r>
        <w:drawing>
          <wp:inline distT="0" distB="0" distL="0" distR="0">
            <wp:extent cx="5939790" cy="4203065"/>
            <wp:effectExtent l="0" t="0" r="3810" b="6985"/>
            <wp:docPr id="1384383804"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84383804" name="图片 1"/>
                    <pic:cNvPicPr>
                      <a:picLocks noChangeAspect="true"/>
                    </pic:cNvPicPr>
                  </pic:nvPicPr>
                  <pic:blipFill>
                    <a:blip r:embed="rId28"/>
                    <a:stretch>
                      <a:fillRect/>
                    </a:stretch>
                  </pic:blipFill>
                  <pic:spPr>
                    <a:xfrm>
                      <a:off x="0" y="0"/>
                      <a:ext cx="5939790" cy="4203065"/>
                    </a:xfrm>
                    <a:prstGeom prst="rect">
                      <a:avLst/>
                    </a:prstGeom>
                  </pic:spPr>
                </pic:pic>
              </a:graphicData>
            </a:graphic>
          </wp:inline>
        </w:drawing>
      </w:r>
    </w:p>
    <w:p>
      <w:pPr>
        <w:pStyle w:val="90"/>
        <w:spacing w:before="156" w:after="156"/>
      </w:pPr>
      <w:r>
        <w:rPr>
          <w:rFonts w:hint="eastAsia"/>
        </w:rPr>
        <w:t xml:space="preserve"> 苏州市行政区及地貌类型分布图</w:t>
      </w:r>
    </w:p>
    <w:p>
      <w:pPr>
        <w:pStyle w:val="67"/>
      </w:pPr>
    </w:p>
    <w:p>
      <w:pPr>
        <w:pStyle w:val="67"/>
        <w:sectPr>
          <w:headerReference r:id="rId19" w:type="even"/>
          <w:footerReference r:id="rId20" w:type="even"/>
          <w:pgSz w:w="11906" w:h="16838"/>
          <w:pgMar w:top="1417" w:right="1134" w:bottom="1134" w:left="1418" w:header="1417" w:footer="1134" w:gutter="0"/>
          <w:cols w:space="425" w:num="1"/>
          <w:docGrid w:type="lines" w:linePitch="312" w:charSpace="0"/>
        </w:sectPr>
      </w:pPr>
    </w:p>
    <w:p>
      <w:pPr>
        <w:pStyle w:val="7"/>
        <w:adjustRightInd w:val="0"/>
        <w:snapToGrid w:val="0"/>
        <w:spacing w:before="567"/>
        <w:ind w:firstLine="0"/>
        <w:jc w:val="center"/>
        <w:outlineLvl w:val="0"/>
        <w:rPr>
          <w:rFonts w:ascii="黑体" w:hAnsi="黑体" w:eastAsia="黑体" w:cs="黑体"/>
          <w:szCs w:val="21"/>
        </w:rPr>
      </w:pPr>
      <w:bookmarkStart w:id="89" w:name="_Toc164415083"/>
      <w:r>
        <w:rPr>
          <w:rFonts w:hint="eastAsia" w:ascii="黑体" w:hAnsi="黑体" w:eastAsia="黑体" w:cs="黑体"/>
          <w:szCs w:val="21"/>
        </w:rPr>
        <w:t>附  录  B</w:t>
      </w:r>
      <w:bookmarkEnd w:id="89"/>
    </w:p>
    <w:p>
      <w:pPr>
        <w:pStyle w:val="8"/>
        <w:jc w:val="center"/>
        <w:outlineLvl w:val="0"/>
        <w:rPr>
          <w:rFonts w:ascii="黑体" w:hAnsi="黑体" w:eastAsia="黑体" w:cs="黑体"/>
          <w:sz w:val="21"/>
          <w:szCs w:val="21"/>
        </w:rPr>
      </w:pPr>
      <w:bookmarkStart w:id="90" w:name="_Toc164415084"/>
      <w:bookmarkStart w:id="91" w:name="_Toc12726"/>
      <w:r>
        <w:rPr>
          <w:rFonts w:hint="eastAsia" w:ascii="黑体" w:hAnsi="黑体" w:eastAsia="黑体" w:cs="黑体"/>
          <w:sz w:val="21"/>
          <w:szCs w:val="21"/>
        </w:rPr>
        <w:t>（规范性）</w:t>
      </w:r>
      <w:bookmarkEnd w:id="90"/>
      <w:bookmarkEnd w:id="91"/>
    </w:p>
    <w:p>
      <w:pPr>
        <w:pStyle w:val="8"/>
        <w:adjustRightInd w:val="0"/>
        <w:spacing w:after="283"/>
        <w:jc w:val="center"/>
        <w:outlineLvl w:val="0"/>
        <w:rPr>
          <w:rFonts w:ascii="黑体" w:hAnsi="黑体" w:eastAsia="黑体"/>
          <w:color w:val="000000"/>
          <w:sz w:val="21"/>
          <w:szCs w:val="21"/>
        </w:rPr>
      </w:pPr>
      <w:bookmarkStart w:id="92" w:name="_Toc164415085"/>
      <w:bookmarkStart w:id="93" w:name="_Toc1592"/>
      <w:bookmarkStart w:id="94" w:name="_Toc16237"/>
      <w:r>
        <w:rPr>
          <w:rFonts w:hint="eastAsia" w:ascii="黑体" w:hAnsi="黑体" w:eastAsia="黑体"/>
          <w:color w:val="000000"/>
          <w:sz w:val="21"/>
          <w:szCs w:val="21"/>
        </w:rPr>
        <w:t>各统计单元土壤环境背景基本统计量</w:t>
      </w:r>
      <w:bookmarkEnd w:id="92"/>
      <w:bookmarkEnd w:id="93"/>
      <w:bookmarkEnd w:id="94"/>
    </w:p>
    <w:p>
      <w:pPr>
        <w:pStyle w:val="27"/>
      </w:pPr>
      <w:r>
        <w:rPr>
          <w:rFonts w:hint="eastAsia"/>
        </w:rPr>
        <w:t>各统计单元土壤环境背景基本统</w:t>
      </w:r>
      <w:r>
        <w:rPr>
          <w:rFonts w:hint="eastAsia" w:ascii="宋体" w:hAnsi="宋体" w:eastAsia="宋体" w:cs="宋体"/>
        </w:rPr>
        <w:t>计见表B.1~B.11。</w:t>
      </w:r>
    </w:p>
    <w:p>
      <w:pPr>
        <w:pStyle w:val="76"/>
        <w:numPr>
          <w:ilvl w:val="0"/>
          <w:numId w:val="0"/>
        </w:numPr>
        <w:rPr>
          <w:b/>
          <w:bCs/>
        </w:rPr>
      </w:pPr>
      <w:r>
        <w:rPr>
          <w:rFonts w:hint="eastAsia"/>
        </w:rPr>
        <w:t xml:space="preserve">表B.1  </w:t>
      </w:r>
      <w:r>
        <w:rPr>
          <w:color w:val="000000"/>
          <w:szCs w:val="21"/>
        </w:rPr>
        <w:t>张家港市</w:t>
      </w:r>
      <w:r>
        <w:rPr>
          <w:rFonts w:hint="eastAsia"/>
          <w:color w:val="000000"/>
          <w:szCs w:val="21"/>
        </w:rPr>
        <w:t>土壤环境</w:t>
      </w:r>
      <w:r>
        <w:rPr>
          <w:color w:val="000000"/>
          <w:szCs w:val="21"/>
        </w:rPr>
        <w:t>背景含量的基本统计量</w:t>
      </w:r>
    </w:p>
    <w:p>
      <w:pPr>
        <w:jc w:val="right"/>
        <w:rPr>
          <w:rFonts w:ascii="宋体" w:hAnsi="宋体"/>
          <w:sz w:val="18"/>
          <w:szCs w:val="18"/>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667"/>
        <w:gridCol w:w="877"/>
        <w:gridCol w:w="709"/>
        <w:gridCol w:w="709"/>
        <w:gridCol w:w="708"/>
        <w:gridCol w:w="709"/>
        <w:gridCol w:w="709"/>
        <w:gridCol w:w="709"/>
        <w:gridCol w:w="708"/>
        <w:gridCol w:w="851"/>
        <w:gridCol w:w="709"/>
        <w:gridCol w:w="708"/>
        <w:gridCol w:w="709"/>
        <w:gridCol w:w="709"/>
        <w:gridCol w:w="709"/>
        <w:gridCol w:w="928"/>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675" w:type="dxa"/>
            <w:vMerge w:val="restart"/>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元素</w:t>
            </w:r>
          </w:p>
        </w:tc>
        <w:tc>
          <w:tcPr>
            <w:tcW w:w="2667" w:type="dxa"/>
            <w:vMerge w:val="restart"/>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地貌类型</w:t>
            </w:r>
          </w:p>
        </w:tc>
        <w:tc>
          <w:tcPr>
            <w:tcW w:w="6689" w:type="dxa"/>
            <w:gridSpan w:val="9"/>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顺序统计量（分位值）</w:t>
            </w:r>
          </w:p>
        </w:tc>
        <w:tc>
          <w:tcPr>
            <w:tcW w:w="709" w:type="dxa"/>
            <w:vMerge w:val="restart"/>
            <w:noWrap/>
            <w:vAlign w:val="center"/>
          </w:tcPr>
          <w:p>
            <w:pPr>
              <w:widowControl/>
              <w:adjustRightInd w:val="0"/>
              <w:jc w:val="center"/>
              <w:rPr>
                <w:rFonts w:ascii="宋体" w:hAnsi="宋体" w:eastAsia="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708" w:type="dxa"/>
            <w:vMerge w:val="restart"/>
            <w:noWrap/>
            <w:vAlign w:val="center"/>
          </w:tcPr>
          <w:p>
            <w:pPr>
              <w:widowControl/>
              <w:adjustRightInd w:val="0"/>
              <w:jc w:val="center"/>
              <w:rPr>
                <w:rFonts w:ascii="宋体" w:hAnsi="宋体" w:eastAsia="宋体"/>
                <w:i/>
                <w:iCs/>
                <w:kern w:val="0"/>
                <w:sz w:val="18"/>
                <w:szCs w:val="18"/>
              </w:rPr>
            </w:pPr>
            <w:r>
              <w:rPr>
                <w:rFonts w:hint="eastAsia" w:ascii="宋体" w:hAnsi="宋体" w:cs="宋体"/>
                <w:i/>
                <w:iCs/>
                <w:color w:val="000000"/>
                <w:kern w:val="0"/>
                <w:sz w:val="18"/>
                <w:szCs w:val="18"/>
              </w:rPr>
              <w:t>S</w:t>
            </w:r>
          </w:p>
        </w:tc>
        <w:tc>
          <w:tcPr>
            <w:tcW w:w="709" w:type="dxa"/>
            <w:vMerge w:val="restart"/>
            <w:noWrap/>
            <w:vAlign w:val="center"/>
          </w:tcPr>
          <w:p>
            <w:pPr>
              <w:widowControl/>
              <w:adjustRightInd w:val="0"/>
              <w:jc w:val="center"/>
              <w:rPr>
                <w:rFonts w:ascii="宋体" w:hAnsi="宋体" w:eastAsia="宋体"/>
                <w:i/>
                <w:iCs/>
                <w:kern w:val="0"/>
                <w:sz w:val="18"/>
                <w:szCs w:val="18"/>
              </w:rPr>
            </w:pPr>
            <w:r>
              <w:rPr>
                <w:rFonts w:hint="eastAsia" w:ascii="宋体" w:hAnsi="宋体" w:cs="宋体"/>
                <w:i/>
                <w:iCs/>
                <w:color w:val="000000"/>
                <w:kern w:val="0"/>
                <w:sz w:val="18"/>
                <w:szCs w:val="18"/>
              </w:rPr>
              <w:t>M</w:t>
            </w:r>
          </w:p>
        </w:tc>
        <w:tc>
          <w:tcPr>
            <w:tcW w:w="709" w:type="dxa"/>
            <w:vMerge w:val="restart"/>
            <w:noWrap/>
            <w:vAlign w:val="center"/>
          </w:tcPr>
          <w:p>
            <w:pPr>
              <w:widowControl/>
              <w:adjustRightInd w:val="0"/>
              <w:jc w:val="center"/>
              <w:rPr>
                <w:rFonts w:ascii="宋体" w:hAnsi="宋体" w:eastAsia="宋体"/>
                <w:i/>
                <w:iCs/>
                <w:kern w:val="0"/>
                <w:sz w:val="18"/>
                <w:szCs w:val="18"/>
              </w:rPr>
            </w:pPr>
            <w:r>
              <w:rPr>
                <w:rFonts w:hint="eastAsia" w:ascii="宋体" w:hAnsi="宋体" w:cs="宋体"/>
                <w:i/>
                <w:iCs/>
                <w:color w:val="000000"/>
                <w:kern w:val="0"/>
                <w:sz w:val="18"/>
                <w:szCs w:val="18"/>
              </w:rPr>
              <w:t>D</w:t>
            </w:r>
          </w:p>
        </w:tc>
        <w:tc>
          <w:tcPr>
            <w:tcW w:w="709" w:type="dxa"/>
            <w:vMerge w:val="restart"/>
            <w:vAlign w:val="center"/>
          </w:tcPr>
          <w:p>
            <w:pPr>
              <w:widowControl/>
              <w:adjustRightInd w:val="0"/>
              <w:jc w:val="center"/>
              <w:rPr>
                <w:rFonts w:ascii="宋体" w:hAnsi="宋体"/>
                <w:kern w:val="0"/>
                <w:sz w:val="18"/>
                <w:szCs w:val="18"/>
              </w:rPr>
            </w:pPr>
            <w:r>
              <w:rPr>
                <w:rFonts w:ascii="宋体" w:hAnsi="宋体"/>
                <w:kern w:val="0"/>
                <w:sz w:val="18"/>
                <w:szCs w:val="18"/>
              </w:rPr>
              <w:t>数据</w:t>
            </w:r>
          </w:p>
          <w:p>
            <w:pPr>
              <w:widowControl/>
              <w:adjustRightInd w:val="0"/>
              <w:jc w:val="center"/>
              <w:rPr>
                <w:rFonts w:ascii="宋体" w:hAnsi="宋体"/>
                <w:kern w:val="0"/>
                <w:sz w:val="18"/>
                <w:szCs w:val="18"/>
              </w:rPr>
            </w:pPr>
            <w:r>
              <w:rPr>
                <w:rFonts w:ascii="宋体" w:hAnsi="宋体"/>
                <w:kern w:val="0"/>
                <w:sz w:val="18"/>
                <w:szCs w:val="18"/>
              </w:rPr>
              <w:t>分布</w:t>
            </w:r>
          </w:p>
        </w:tc>
        <w:tc>
          <w:tcPr>
            <w:tcW w:w="928" w:type="dxa"/>
            <w:vMerge w:val="restart"/>
            <w:vAlign w:val="center"/>
          </w:tcPr>
          <w:p>
            <w:pPr>
              <w:widowControl/>
              <w:adjustRightInd w:val="0"/>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adjustRightInd w:val="0"/>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675" w:type="dxa"/>
            <w:vMerge w:val="continue"/>
            <w:vAlign w:val="center"/>
          </w:tcPr>
          <w:p>
            <w:pPr>
              <w:widowControl/>
              <w:adjustRightInd w:val="0"/>
              <w:jc w:val="center"/>
              <w:rPr>
                <w:rFonts w:ascii="宋体" w:hAnsi="宋体" w:eastAsia="宋体"/>
                <w:color w:val="000000"/>
                <w:kern w:val="0"/>
                <w:sz w:val="18"/>
                <w:szCs w:val="18"/>
              </w:rPr>
            </w:pPr>
          </w:p>
        </w:tc>
        <w:tc>
          <w:tcPr>
            <w:tcW w:w="2667" w:type="dxa"/>
            <w:vMerge w:val="continue"/>
            <w:vAlign w:val="center"/>
          </w:tcPr>
          <w:p>
            <w:pPr>
              <w:widowControl/>
              <w:adjustRightInd w:val="0"/>
              <w:jc w:val="center"/>
              <w:rPr>
                <w:rFonts w:ascii="宋体" w:hAnsi="宋体" w:eastAsia="宋体"/>
                <w:color w:val="000000"/>
                <w:kern w:val="0"/>
                <w:sz w:val="18"/>
                <w:szCs w:val="18"/>
              </w:rPr>
            </w:pPr>
          </w:p>
        </w:tc>
        <w:tc>
          <w:tcPr>
            <w:tcW w:w="877" w:type="dxa"/>
            <w:noWrap/>
            <w:vAlign w:val="center"/>
          </w:tcPr>
          <w:p>
            <w:pPr>
              <w:widowControl/>
              <w:adjustRightInd w:val="0"/>
              <w:jc w:val="center"/>
              <w:rPr>
                <w:rFonts w:ascii="宋体" w:hAnsi="宋体" w:eastAsia="宋体"/>
                <w:kern w:val="0"/>
                <w:sz w:val="18"/>
                <w:szCs w:val="18"/>
              </w:rPr>
            </w:pPr>
            <w:r>
              <w:rPr>
                <w:rFonts w:hint="eastAsia" w:ascii="宋体" w:hAnsi="宋体"/>
                <w:kern w:val="0"/>
                <w:sz w:val="18"/>
                <w:szCs w:val="18"/>
              </w:rPr>
              <w:t>最小值</w:t>
            </w:r>
          </w:p>
        </w:tc>
        <w:tc>
          <w:tcPr>
            <w:tcW w:w="709" w:type="dxa"/>
            <w:noWrap/>
            <w:vAlign w:val="center"/>
          </w:tcPr>
          <w:p>
            <w:pPr>
              <w:widowControl/>
              <w:adjustRightInd w:val="0"/>
              <w:jc w:val="center"/>
              <w:rPr>
                <w:rFonts w:ascii="宋体" w:hAnsi="宋体" w:eastAsia="宋体"/>
                <w:kern w:val="0"/>
                <w:sz w:val="18"/>
                <w:szCs w:val="18"/>
              </w:rPr>
            </w:pPr>
            <w:r>
              <w:rPr>
                <w:rFonts w:ascii="宋体" w:hAnsi="宋体" w:eastAsia="宋体"/>
                <w:kern w:val="0"/>
                <w:sz w:val="18"/>
                <w:szCs w:val="18"/>
              </w:rPr>
              <w:t>5%</w:t>
            </w:r>
          </w:p>
        </w:tc>
        <w:tc>
          <w:tcPr>
            <w:tcW w:w="709" w:type="dxa"/>
            <w:noWrap/>
            <w:vAlign w:val="center"/>
          </w:tcPr>
          <w:p>
            <w:pPr>
              <w:widowControl/>
              <w:adjustRightInd w:val="0"/>
              <w:jc w:val="center"/>
              <w:rPr>
                <w:rFonts w:ascii="宋体" w:hAnsi="宋体" w:eastAsia="宋体"/>
                <w:kern w:val="0"/>
                <w:sz w:val="18"/>
                <w:szCs w:val="18"/>
              </w:rPr>
            </w:pPr>
            <w:r>
              <w:rPr>
                <w:rFonts w:ascii="宋体" w:hAnsi="宋体" w:eastAsia="宋体"/>
                <w:kern w:val="0"/>
                <w:sz w:val="18"/>
                <w:szCs w:val="18"/>
              </w:rPr>
              <w:t>10%</w:t>
            </w:r>
          </w:p>
        </w:tc>
        <w:tc>
          <w:tcPr>
            <w:tcW w:w="708" w:type="dxa"/>
            <w:noWrap/>
            <w:vAlign w:val="center"/>
          </w:tcPr>
          <w:p>
            <w:pPr>
              <w:widowControl/>
              <w:adjustRightInd w:val="0"/>
              <w:jc w:val="center"/>
              <w:rPr>
                <w:rFonts w:ascii="宋体" w:hAnsi="宋体" w:eastAsia="宋体"/>
                <w:kern w:val="0"/>
                <w:sz w:val="18"/>
                <w:szCs w:val="18"/>
              </w:rPr>
            </w:pPr>
            <w:r>
              <w:rPr>
                <w:rFonts w:ascii="宋体" w:hAnsi="宋体" w:eastAsia="宋体"/>
                <w:kern w:val="0"/>
                <w:sz w:val="18"/>
                <w:szCs w:val="18"/>
              </w:rPr>
              <w:t>25%</w:t>
            </w:r>
          </w:p>
        </w:tc>
        <w:tc>
          <w:tcPr>
            <w:tcW w:w="709" w:type="dxa"/>
            <w:noWrap/>
            <w:vAlign w:val="center"/>
          </w:tcPr>
          <w:p>
            <w:pPr>
              <w:widowControl/>
              <w:adjustRightInd w:val="0"/>
              <w:jc w:val="center"/>
              <w:rPr>
                <w:rFonts w:ascii="宋体" w:hAnsi="宋体" w:eastAsia="宋体"/>
                <w:kern w:val="0"/>
                <w:sz w:val="18"/>
                <w:szCs w:val="18"/>
              </w:rPr>
            </w:pPr>
            <w:r>
              <w:rPr>
                <w:rFonts w:ascii="宋体" w:hAnsi="宋体" w:eastAsia="宋体"/>
                <w:kern w:val="0"/>
                <w:sz w:val="18"/>
                <w:szCs w:val="18"/>
              </w:rPr>
              <w:t>50%</w:t>
            </w:r>
          </w:p>
        </w:tc>
        <w:tc>
          <w:tcPr>
            <w:tcW w:w="709" w:type="dxa"/>
            <w:noWrap/>
            <w:vAlign w:val="center"/>
          </w:tcPr>
          <w:p>
            <w:pPr>
              <w:widowControl/>
              <w:adjustRightInd w:val="0"/>
              <w:jc w:val="center"/>
              <w:rPr>
                <w:rFonts w:ascii="宋体" w:hAnsi="宋体" w:eastAsia="宋体"/>
                <w:kern w:val="0"/>
                <w:sz w:val="18"/>
                <w:szCs w:val="18"/>
              </w:rPr>
            </w:pPr>
            <w:r>
              <w:rPr>
                <w:rFonts w:ascii="宋体" w:hAnsi="宋体" w:eastAsia="宋体"/>
                <w:kern w:val="0"/>
                <w:sz w:val="18"/>
                <w:szCs w:val="18"/>
              </w:rPr>
              <w:t>75%</w:t>
            </w:r>
          </w:p>
        </w:tc>
        <w:tc>
          <w:tcPr>
            <w:tcW w:w="709" w:type="dxa"/>
            <w:noWrap/>
            <w:vAlign w:val="center"/>
          </w:tcPr>
          <w:p>
            <w:pPr>
              <w:widowControl/>
              <w:adjustRightInd w:val="0"/>
              <w:jc w:val="center"/>
              <w:rPr>
                <w:rFonts w:ascii="宋体" w:hAnsi="宋体" w:eastAsia="宋体"/>
                <w:kern w:val="0"/>
                <w:sz w:val="18"/>
                <w:szCs w:val="18"/>
              </w:rPr>
            </w:pPr>
            <w:r>
              <w:rPr>
                <w:rFonts w:ascii="宋体" w:hAnsi="宋体" w:eastAsia="宋体"/>
                <w:kern w:val="0"/>
                <w:sz w:val="18"/>
                <w:szCs w:val="18"/>
              </w:rPr>
              <w:t>90%</w:t>
            </w:r>
          </w:p>
        </w:tc>
        <w:tc>
          <w:tcPr>
            <w:tcW w:w="708" w:type="dxa"/>
            <w:noWrap/>
            <w:vAlign w:val="center"/>
          </w:tcPr>
          <w:p>
            <w:pPr>
              <w:widowControl/>
              <w:adjustRightInd w:val="0"/>
              <w:jc w:val="center"/>
              <w:rPr>
                <w:rFonts w:ascii="宋体" w:hAnsi="宋体" w:eastAsia="宋体"/>
                <w:kern w:val="0"/>
                <w:sz w:val="18"/>
                <w:szCs w:val="18"/>
              </w:rPr>
            </w:pPr>
            <w:r>
              <w:rPr>
                <w:rFonts w:ascii="宋体" w:hAnsi="宋体" w:eastAsia="宋体"/>
                <w:kern w:val="0"/>
                <w:sz w:val="18"/>
                <w:szCs w:val="18"/>
              </w:rPr>
              <w:t>95%</w:t>
            </w:r>
          </w:p>
        </w:tc>
        <w:tc>
          <w:tcPr>
            <w:tcW w:w="851" w:type="dxa"/>
            <w:noWrap/>
            <w:vAlign w:val="center"/>
          </w:tcPr>
          <w:p>
            <w:pPr>
              <w:widowControl/>
              <w:adjustRightInd w:val="0"/>
              <w:jc w:val="center"/>
              <w:rPr>
                <w:rFonts w:ascii="宋体" w:hAnsi="宋体" w:eastAsia="宋体"/>
                <w:kern w:val="0"/>
                <w:sz w:val="18"/>
                <w:szCs w:val="18"/>
              </w:rPr>
            </w:pPr>
            <w:r>
              <w:rPr>
                <w:rFonts w:hint="eastAsia" w:ascii="宋体" w:hAnsi="宋体"/>
                <w:kern w:val="0"/>
                <w:sz w:val="18"/>
                <w:szCs w:val="18"/>
              </w:rPr>
              <w:t>最大值</w:t>
            </w:r>
          </w:p>
        </w:tc>
        <w:tc>
          <w:tcPr>
            <w:tcW w:w="709" w:type="dxa"/>
            <w:vMerge w:val="continue"/>
            <w:vAlign w:val="center"/>
          </w:tcPr>
          <w:p>
            <w:pPr>
              <w:widowControl/>
              <w:adjustRightInd w:val="0"/>
              <w:jc w:val="center"/>
              <w:rPr>
                <w:rFonts w:ascii="宋体" w:hAnsi="宋体" w:eastAsia="宋体"/>
                <w:kern w:val="0"/>
                <w:sz w:val="18"/>
                <w:szCs w:val="18"/>
              </w:rPr>
            </w:pPr>
          </w:p>
        </w:tc>
        <w:tc>
          <w:tcPr>
            <w:tcW w:w="708" w:type="dxa"/>
            <w:vMerge w:val="continue"/>
            <w:vAlign w:val="center"/>
          </w:tcPr>
          <w:p>
            <w:pPr>
              <w:widowControl/>
              <w:adjustRightInd w:val="0"/>
              <w:jc w:val="center"/>
              <w:rPr>
                <w:rFonts w:ascii="宋体" w:hAnsi="宋体" w:eastAsia="宋体"/>
                <w:kern w:val="0"/>
                <w:sz w:val="18"/>
                <w:szCs w:val="18"/>
              </w:rPr>
            </w:pPr>
          </w:p>
        </w:tc>
        <w:tc>
          <w:tcPr>
            <w:tcW w:w="709" w:type="dxa"/>
            <w:vMerge w:val="continue"/>
            <w:vAlign w:val="center"/>
          </w:tcPr>
          <w:p>
            <w:pPr>
              <w:widowControl/>
              <w:adjustRightInd w:val="0"/>
              <w:jc w:val="center"/>
              <w:rPr>
                <w:rFonts w:ascii="宋体" w:hAnsi="宋体" w:eastAsia="宋体"/>
                <w:kern w:val="0"/>
                <w:sz w:val="18"/>
                <w:szCs w:val="18"/>
              </w:rPr>
            </w:pPr>
          </w:p>
        </w:tc>
        <w:tc>
          <w:tcPr>
            <w:tcW w:w="709" w:type="dxa"/>
            <w:vMerge w:val="continue"/>
            <w:vAlign w:val="center"/>
          </w:tcPr>
          <w:p>
            <w:pPr>
              <w:widowControl/>
              <w:adjustRightInd w:val="0"/>
              <w:jc w:val="center"/>
              <w:rPr>
                <w:rFonts w:ascii="宋体" w:hAnsi="宋体" w:eastAsia="宋体"/>
                <w:kern w:val="0"/>
                <w:sz w:val="18"/>
                <w:szCs w:val="18"/>
              </w:rPr>
            </w:pPr>
          </w:p>
        </w:tc>
        <w:tc>
          <w:tcPr>
            <w:tcW w:w="709" w:type="dxa"/>
            <w:vMerge w:val="continue"/>
            <w:vAlign w:val="center"/>
          </w:tcPr>
          <w:p>
            <w:pPr>
              <w:widowControl/>
              <w:adjustRightInd w:val="0"/>
              <w:jc w:val="center"/>
              <w:rPr>
                <w:rFonts w:ascii="宋体" w:hAnsi="宋体"/>
                <w:kern w:val="0"/>
                <w:sz w:val="18"/>
                <w:szCs w:val="18"/>
              </w:rPr>
            </w:pPr>
          </w:p>
        </w:tc>
        <w:tc>
          <w:tcPr>
            <w:tcW w:w="928" w:type="dxa"/>
            <w:vMerge w:val="continue"/>
          </w:tcPr>
          <w:p>
            <w:pPr>
              <w:widowControl/>
              <w:adjustRightInd w:val="0"/>
              <w:jc w:val="center"/>
              <w:rPr>
                <w:rFonts w:ascii="宋体" w:hAnsi="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675" w:type="dxa"/>
            <w:vMerge w:val="restart"/>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镉</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冲湖积平原/高亢平原及黄土岗地/丘陵</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0.07</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1.32</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0.24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continue"/>
            <w:vAlign w:val="center"/>
          </w:tcPr>
          <w:p>
            <w:pPr>
              <w:widowControl/>
              <w:adjustRightInd w:val="0"/>
              <w:jc w:val="center"/>
              <w:rPr>
                <w:rFonts w:ascii="宋体" w:hAnsi="宋体" w:eastAsia="宋体"/>
                <w:color w:val="000000"/>
                <w:kern w:val="0"/>
                <w:sz w:val="18"/>
                <w:szCs w:val="18"/>
              </w:rPr>
            </w:pP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长江新三角洲平原及边滩</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0.07</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0.33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0.36</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0.38</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0.58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0.38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restart"/>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汞</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冲湖积平原</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0.48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0.16</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0.07</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1.53</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0.27</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675" w:type="dxa"/>
            <w:vMerge w:val="continue"/>
            <w:vAlign w:val="center"/>
          </w:tcPr>
          <w:p>
            <w:pPr>
              <w:widowControl/>
              <w:adjustRightInd w:val="0"/>
              <w:jc w:val="center"/>
              <w:rPr>
                <w:rFonts w:ascii="宋体" w:hAnsi="宋体" w:eastAsia="宋体"/>
                <w:color w:val="000000"/>
                <w:kern w:val="0"/>
                <w:sz w:val="18"/>
                <w:szCs w:val="18"/>
              </w:rPr>
            </w:pP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高亢平原及黄土岗地/丘陵/长江新三角洲平原及边滩</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0.07</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0.43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1.43</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0.18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砷</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4.17</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6.39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6.88</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7.81</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8.96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10.30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11.40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12.30</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17.20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9.11</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1.83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8.93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1.22</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12.30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铅</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14.10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22.40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24.00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26.10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28.70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31.30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33.80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36.04</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65.20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29.11</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5.04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28.73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1.17</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36.04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铬</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48.00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64.61</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68.30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74.05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79.30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85.00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89.94</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93.47</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106.0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79.22</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8.73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78.73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1.12</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93.47</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铜</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25.00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26.36</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29.00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33.20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37.80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41.44</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43.60</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56.30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33.56</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6.24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32.77</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1.34</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43.60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restart"/>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锌</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冲湖积平原</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36.20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64.32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70.30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79.80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91.90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104.0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118.0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128.0</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149.0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92.98</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19.28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90.95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128.0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675" w:type="dxa"/>
            <w:vMerge w:val="continue"/>
            <w:vAlign w:val="center"/>
          </w:tcPr>
          <w:p>
            <w:pPr>
              <w:widowControl/>
              <w:adjustRightInd w:val="0"/>
              <w:jc w:val="center"/>
              <w:rPr>
                <w:rFonts w:ascii="宋体" w:hAnsi="宋体" w:eastAsia="宋体"/>
                <w:color w:val="000000"/>
                <w:kern w:val="0"/>
                <w:sz w:val="18"/>
                <w:szCs w:val="18"/>
              </w:rPr>
            </w:pP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高亢平原及黄土岗地/丘陵</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41.00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56.92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60.43</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64.90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72.40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79.60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87.76</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97.87</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118.0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73.82</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13.02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72.72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97.87</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continue"/>
            <w:vAlign w:val="center"/>
          </w:tcPr>
          <w:p>
            <w:pPr>
              <w:widowControl/>
              <w:adjustRightInd w:val="0"/>
              <w:jc w:val="center"/>
              <w:rPr>
                <w:rFonts w:ascii="宋体" w:hAnsi="宋体" w:eastAsia="宋体"/>
                <w:color w:val="000000"/>
                <w:kern w:val="0"/>
                <w:sz w:val="18"/>
                <w:szCs w:val="18"/>
              </w:rPr>
            </w:pP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长江新三角洲平原及边滩</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39.78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68.54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74.17</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82.00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89.85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98.68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108.0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114.0</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146.0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90.56</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14.26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89.42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1.17</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114.0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镍</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19.00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28.60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30.51</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33.40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36.55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39.30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42.50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44.00</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49.40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36.41</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4.71</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36.09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1.14</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44.00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钴</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8.79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11.70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12.54</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13.50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14.50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16.00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17.26</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17.96</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20.00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14.77</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1.90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14.64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1.14</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17.96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钒</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32.00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49.86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87.48</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93.80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99.50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109.0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117.0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121.3</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141.0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98.78</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17.48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96.68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1.26</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121.3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675" w:type="dxa"/>
            <w:vMerge w:val="restart"/>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锰</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冲湖积平原/高亢平原及黄土岗地/丘陵</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382.0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411.4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421.8</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463.3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534.5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605.5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663.9</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704.6</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1000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544.2</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106.4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534.9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704.6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continue"/>
            <w:vAlign w:val="center"/>
          </w:tcPr>
          <w:p>
            <w:pPr>
              <w:widowControl/>
              <w:adjustRightInd w:val="0"/>
              <w:jc w:val="center"/>
              <w:rPr>
                <w:rFonts w:ascii="宋体" w:hAnsi="宋体" w:eastAsia="宋体"/>
                <w:color w:val="000000"/>
                <w:kern w:val="0"/>
                <w:sz w:val="18"/>
                <w:szCs w:val="18"/>
              </w:rPr>
            </w:pP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长江新三角洲平原及边滩</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589.0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613.6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645.0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705.0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775.0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847.5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918.2</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933.5</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1033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777.4</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101.8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770.8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1.14</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933.5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restart"/>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硒</w:t>
            </w: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冲湖积平原/丘陵</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0.35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0.40</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0.43</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0.62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0.33</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0.43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675" w:type="dxa"/>
            <w:vMerge w:val="continue"/>
            <w:vAlign w:val="center"/>
          </w:tcPr>
          <w:p>
            <w:pPr>
              <w:widowControl/>
              <w:adjustRightInd w:val="0"/>
              <w:jc w:val="center"/>
              <w:rPr>
                <w:rFonts w:ascii="宋体" w:hAnsi="宋体" w:eastAsia="宋体"/>
                <w:color w:val="000000"/>
                <w:kern w:val="0"/>
                <w:sz w:val="18"/>
                <w:szCs w:val="18"/>
              </w:rPr>
            </w:pPr>
          </w:p>
        </w:tc>
        <w:tc>
          <w:tcPr>
            <w:tcW w:w="2667" w:type="dxa"/>
            <w:noWrap/>
            <w:vAlign w:val="center"/>
          </w:tcPr>
          <w:p>
            <w:pPr>
              <w:widowControl/>
              <w:adjustRightInd w:val="0"/>
              <w:jc w:val="center"/>
              <w:rPr>
                <w:rFonts w:ascii="宋体" w:hAnsi="宋体" w:eastAsia="宋体"/>
                <w:color w:val="000000"/>
                <w:kern w:val="0"/>
                <w:sz w:val="18"/>
                <w:szCs w:val="18"/>
              </w:rPr>
            </w:pPr>
            <w:r>
              <w:rPr>
                <w:rFonts w:hint="eastAsia" w:ascii="宋体" w:hAnsi="宋体"/>
                <w:color w:val="000000"/>
                <w:kern w:val="0"/>
                <w:sz w:val="18"/>
                <w:szCs w:val="18"/>
              </w:rPr>
              <w:t>高亢平原及黄土岗地/长江新三角洲平原及边滩</w:t>
            </w:r>
          </w:p>
        </w:tc>
        <w:tc>
          <w:tcPr>
            <w:tcW w:w="877"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0.28</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0.35</w:t>
            </w:r>
          </w:p>
        </w:tc>
        <w:tc>
          <w:tcPr>
            <w:tcW w:w="851"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0.49</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708"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0.05</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709" w:type="dxa"/>
            <w:noWrap/>
            <w:vAlign w:val="center"/>
          </w:tcPr>
          <w:p>
            <w:pPr>
              <w:widowControl/>
              <w:adjustRightInd w:val="0"/>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709" w:type="dxa"/>
            <w:vAlign w:val="center"/>
          </w:tcPr>
          <w:p>
            <w:pPr>
              <w:widowControl/>
              <w:adjustRightInd w:val="0"/>
              <w:jc w:val="center"/>
              <w:rPr>
                <w:rFonts w:ascii="宋体" w:hAnsi="宋体"/>
                <w:color w:val="000000"/>
                <w:kern w:val="0"/>
                <w:sz w:val="18"/>
                <w:szCs w:val="18"/>
              </w:rPr>
            </w:pPr>
            <w:r>
              <w:rPr>
                <w:rFonts w:hint="eastAsia" w:ascii="宋体" w:hAnsi="宋体"/>
                <w:color w:val="000000"/>
                <w:kern w:val="0"/>
                <w:sz w:val="18"/>
                <w:szCs w:val="18"/>
              </w:rPr>
              <w:t>偏态</w:t>
            </w:r>
          </w:p>
        </w:tc>
        <w:tc>
          <w:tcPr>
            <w:tcW w:w="928" w:type="dxa"/>
            <w:vAlign w:val="center"/>
          </w:tcPr>
          <w:p>
            <w:pPr>
              <w:widowControl/>
              <w:adjustRightInd w:val="0"/>
              <w:jc w:val="center"/>
              <w:rPr>
                <w:rFonts w:ascii="宋体" w:hAnsi="宋体"/>
                <w:color w:val="000000"/>
                <w:kern w:val="0"/>
                <w:sz w:val="18"/>
                <w:szCs w:val="18"/>
              </w:rPr>
            </w:pPr>
            <w:r>
              <w:rPr>
                <w:rFonts w:ascii="宋体" w:hAnsi="宋体" w:eastAsia="宋体"/>
                <w:color w:val="000000"/>
                <w:kern w:val="0"/>
                <w:sz w:val="18"/>
                <w:szCs w:val="18"/>
              </w:rPr>
              <w:t>0.35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4503" w:type="dxa"/>
            <w:gridSpan w:val="17"/>
            <w:vAlign w:val="center"/>
          </w:tcPr>
          <w:p>
            <w:pPr>
              <w:widowControl/>
              <w:adjustRightInd w:val="0"/>
              <w:jc w:val="left"/>
              <w:rPr>
                <w:rFonts w:ascii="宋体" w:hAnsi="宋体" w:eastAsia="宋体"/>
                <w:color w:val="000000"/>
                <w:kern w:val="0"/>
                <w:sz w:val="18"/>
                <w:szCs w:val="18"/>
              </w:rPr>
            </w:pPr>
            <w:r>
              <w:rPr>
                <w:rFonts w:hint="eastAsia" w:ascii="黑体" w:hAnsi="黑体" w:eastAsia="黑体"/>
                <w:color w:val="000000"/>
                <w:kern w:val="0"/>
                <w:sz w:val="18"/>
                <w:szCs w:val="18"/>
              </w:rPr>
              <w:t>注：</w:t>
            </w:r>
            <w:r>
              <w:rPr>
                <w:rFonts w:hint="eastAsia" w:ascii="宋体" w:hAnsi="宋体" w:eastAsia="宋体"/>
                <w:color w:val="000000"/>
                <w:kern w:val="0"/>
                <w:sz w:val="18"/>
                <w:szCs w:val="18"/>
              </w:rPr>
              <w:t>区域内所有涉及地貌类型包括丘陵、冲湖积平原、长江新三角洲平原及边滩、高亢平原及黄土岗地。</w:t>
            </w:r>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w:r>
              <w:rPr>
                <w:rFonts w:hint="eastAsia" w:ascii="宋体" w:hAnsi="宋体" w:eastAsia="宋体"/>
                <w:color w:val="000000"/>
                <w:kern w:val="0"/>
                <w:sz w:val="18"/>
                <w:szCs w:val="18"/>
              </w:rPr>
              <w:t>为算术平均值，</w:t>
            </w:r>
            <w:r>
              <w:rPr>
                <w:rFonts w:ascii="宋体" w:hAnsi="宋体" w:eastAsia="宋体"/>
                <w:i/>
                <w:iCs/>
                <w:color w:val="000000"/>
                <w:kern w:val="0"/>
                <w:sz w:val="18"/>
                <w:szCs w:val="18"/>
              </w:rPr>
              <w:t>S</w:t>
            </w:r>
            <w:r>
              <w:rPr>
                <w:rFonts w:hint="eastAsia" w:ascii="宋体" w:hAnsi="宋体" w:eastAsia="宋体"/>
                <w:color w:val="000000"/>
                <w:kern w:val="0"/>
                <w:sz w:val="18"/>
                <w:szCs w:val="18"/>
              </w:rPr>
              <w:t>为算术标准差，</w:t>
            </w:r>
            <w:r>
              <w:rPr>
                <w:rFonts w:ascii="宋体" w:hAnsi="宋体" w:eastAsia="宋体"/>
                <w:i/>
                <w:iCs/>
                <w:color w:val="000000"/>
                <w:kern w:val="0"/>
                <w:sz w:val="18"/>
                <w:szCs w:val="18"/>
              </w:rPr>
              <w:t>M</w:t>
            </w:r>
            <w:r>
              <w:rPr>
                <w:rFonts w:hint="eastAsia" w:ascii="宋体" w:hAnsi="宋体" w:eastAsia="宋体"/>
                <w:color w:val="000000"/>
                <w:kern w:val="0"/>
                <w:sz w:val="18"/>
                <w:szCs w:val="18"/>
              </w:rPr>
              <w:t>为几何平均值，</w:t>
            </w:r>
            <w:r>
              <w:rPr>
                <w:rFonts w:ascii="宋体" w:hAnsi="宋体" w:eastAsia="宋体"/>
                <w:i/>
                <w:iCs/>
                <w:color w:val="000000"/>
                <w:kern w:val="0"/>
                <w:sz w:val="18"/>
                <w:szCs w:val="18"/>
              </w:rPr>
              <w:t>D</w:t>
            </w:r>
            <w:r>
              <w:rPr>
                <w:rFonts w:hint="eastAsia" w:ascii="宋体" w:hAnsi="宋体" w:eastAsia="宋体"/>
                <w:color w:val="000000"/>
                <w:kern w:val="0"/>
                <w:sz w:val="18"/>
                <w:szCs w:val="18"/>
              </w:rPr>
              <w:t>为几何标准差，下同。</w:t>
            </w:r>
          </w:p>
        </w:tc>
      </w:tr>
    </w:tbl>
    <w:p>
      <w:pPr>
        <w:pStyle w:val="9"/>
        <w:snapToGrid w:val="0"/>
        <w:spacing w:after="0" w:afterLines="0"/>
        <w:jc w:val="left"/>
      </w:pPr>
      <w:r>
        <w:rPr>
          <w:rFonts w:ascii="宋体" w:hAnsi="宋体" w:eastAsia="宋体"/>
          <w:b w:val="0"/>
          <w:bCs/>
          <w:color w:val="000000"/>
          <w:sz w:val="21"/>
          <w:szCs w:val="21"/>
        </w:rPr>
        <mc:AlternateContent>
          <mc:Choice Requires="wps">
            <w:drawing>
              <wp:anchor distT="0" distB="0" distL="114300" distR="114300" simplePos="0" relativeHeight="251668480" behindDoc="0" locked="0" layoutInCell="1" allowOverlap="1">
                <wp:simplePos x="0" y="0"/>
                <wp:positionH relativeFrom="column">
                  <wp:posOffset>-68580</wp:posOffset>
                </wp:positionH>
                <wp:positionV relativeFrom="page">
                  <wp:posOffset>1135380</wp:posOffset>
                </wp:positionV>
                <wp:extent cx="9144000" cy="605155"/>
                <wp:effectExtent l="0" t="0" r="0" b="0"/>
                <wp:wrapTopAndBottom/>
                <wp:docPr id="173293062" name="文本框 3"/>
                <wp:cNvGraphicFramePr/>
                <a:graphic xmlns:a="http://schemas.openxmlformats.org/drawingml/2006/main">
                  <a:graphicData uri="http://schemas.microsoft.com/office/word/2010/wordprocessingShape">
                    <wps:wsp>
                      <wps:cNvSpPr txBox="true">
                        <a:spLocks noChangeArrowheads="true"/>
                      </wps:cNvSpPr>
                      <wps:spPr bwMode="auto">
                        <a:xfrm>
                          <a:off x="0" y="0"/>
                          <a:ext cx="9144000" cy="605155"/>
                        </a:xfrm>
                        <a:prstGeom prst="rect">
                          <a:avLst/>
                        </a:prstGeom>
                        <a:noFill/>
                        <a:ln>
                          <a:noFill/>
                        </a:ln>
                      </wps:spPr>
                      <wps:txbx>
                        <w:txbxContent>
                          <w:p>
                            <w:pPr>
                              <w:pStyle w:val="9"/>
                              <w:rPr>
                                <w:rFonts w:eastAsia="黑体"/>
                                <w:b w:val="0"/>
                                <w:bCs/>
                                <w:color w:val="000000"/>
                                <w:sz w:val="21"/>
                                <w:szCs w:val="21"/>
                              </w:rPr>
                            </w:pPr>
                            <w:r>
                              <w:rPr>
                                <w:rFonts w:ascii="黑体" w:hAnsi="黑体" w:eastAsia="黑体"/>
                                <w:b w:val="0"/>
                                <w:bCs/>
                                <w:color w:val="000000"/>
                                <w:sz w:val="21"/>
                                <w:szCs w:val="21"/>
                              </w:rPr>
                              <w:t>表</w:t>
                            </w:r>
                            <w:r>
                              <w:rPr>
                                <w:rFonts w:hint="eastAsia" w:ascii="黑体" w:hAnsi="黑体" w:eastAsia="黑体"/>
                                <w:b w:val="0"/>
                                <w:bCs/>
                                <w:color w:val="000000"/>
                                <w:sz w:val="21"/>
                                <w:szCs w:val="21"/>
                              </w:rPr>
                              <w:t>B.1</w:t>
                            </w:r>
                            <w:r>
                              <w:rPr>
                                <w:rFonts w:eastAsia="黑体"/>
                                <w:b w:val="0"/>
                                <w:bCs/>
                                <w:color w:val="000000"/>
                                <w:sz w:val="21"/>
                                <w:szCs w:val="21"/>
                              </w:rPr>
                              <w:t xml:space="preserve">  </w:t>
                            </w:r>
                            <w:r>
                              <w:rPr>
                                <w:rFonts w:hint="eastAsia" w:eastAsia="黑体"/>
                                <w:b w:val="0"/>
                                <w:bCs/>
                                <w:color w:val="000000"/>
                                <w:sz w:val="21"/>
                                <w:szCs w:val="21"/>
                              </w:rPr>
                              <w:t>张家港</w:t>
                            </w:r>
                            <w:r>
                              <w:rPr>
                                <w:rFonts w:eastAsia="黑体"/>
                                <w:b w:val="0"/>
                                <w:bCs/>
                                <w:color w:val="000000"/>
                                <w:sz w:val="21"/>
                                <w:szCs w:val="21"/>
                              </w:rPr>
                              <w:t>市</w:t>
                            </w:r>
                            <w:r>
                              <w:rPr>
                                <w:rFonts w:hint="eastAsia" w:eastAsia="黑体"/>
                                <w:b w:val="0"/>
                                <w:bCs/>
                                <w:color w:val="000000"/>
                                <w:sz w:val="21"/>
                                <w:szCs w:val="21"/>
                              </w:rPr>
                              <w:t>土壤环境</w:t>
                            </w:r>
                            <w:r>
                              <w:rPr>
                                <w:rFonts w:eastAsia="黑体"/>
                                <w:b w:val="0"/>
                                <w:bCs/>
                                <w:color w:val="000000"/>
                                <w:sz w:val="21"/>
                                <w:szCs w:val="21"/>
                              </w:rPr>
                              <w:t>背景含量的基本统计量</w:t>
                            </w:r>
                            <w:r>
                              <w:rPr>
                                <w:rFonts w:hint="eastAsia" w:ascii="宋体" w:hAnsi="宋体" w:eastAsia="宋体"/>
                                <w:b w:val="0"/>
                                <w:bCs/>
                                <w:color w:val="000000"/>
                                <w:sz w:val="21"/>
                                <w:szCs w:val="21"/>
                              </w:rPr>
                              <w:t>（续）</w:t>
                            </w:r>
                          </w:p>
                          <w:p>
                            <w:pPr>
                              <w:jc w:val="right"/>
                              <w:rPr>
                                <w:rFonts w:ascii="宋体" w:hAnsi="宋体"/>
                                <w:sz w:val="18"/>
                                <w:szCs w:val="18"/>
                              </w:rPr>
                            </w:pPr>
                            <w:r>
                              <w:rPr>
                                <w:rFonts w:hint="eastAsia" w:ascii="宋体" w:hAnsi="宋体" w:eastAsia="宋体"/>
                                <w:color w:val="000000"/>
                                <w:sz w:val="18"/>
                                <w:szCs w:val="18"/>
                              </w:rPr>
                              <w:t>单位：mg/kg</w:t>
                            </w:r>
                          </w:p>
                        </w:txbxContent>
                      </wps:txbx>
                      <wps:bodyPr rot="0" vert="horz" wrap="square" lIns="0" tIns="0" rIns="0" bIns="0" anchor="t" anchorCtr="false" upright="true">
                        <a:noAutofit/>
                      </wps:bodyPr>
                    </wps:wsp>
                  </a:graphicData>
                </a:graphic>
              </wp:anchor>
            </w:drawing>
          </mc:Choice>
          <mc:Fallback>
            <w:pict>
              <v:shape id="文本框 3" o:spid="_x0000_s1026" o:spt="202" type="#_x0000_t202" style="position:absolute;left:0pt;margin-left:-5.4pt;margin-top:89.4pt;height:47.65pt;width:720pt;mso-position-vertical-relative:page;mso-wrap-distance-bottom:0pt;mso-wrap-distance-top:0pt;z-index:251668480;mso-width-relative:page;mso-height-relative:page;" filled="f" stroked="f" coordsize="21600,21600" o:gfxdata="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WAAAAZHJzL1BLAQIUABQAAAAIAIdO4kDm1jdZ2gAAAAwBAAAP&#10;AAAAAAAAAAEAIAAAADgAAABkcnMvZG93bnJldi54bWxQSwECFAAUAAAACACHTuJAZVEQYQACAADM&#10;AwAADgAAAAAAAAABACAAAAA/AQAAZHJzL2Uyb0RvYy54bWxQSwUGAAAAAAYABgBZAQAAsQUAAAAA&#10;">
                <v:fill on="f" focussize="0,0"/>
                <v:stroke on="f"/>
                <v:imagedata o:title=""/>
                <o:lock v:ext="edit" aspectratio="f"/>
                <v:textbox inset="0mm,0mm,0mm,0mm">
                  <w:txbxContent>
                    <w:p>
                      <w:pPr>
                        <w:pStyle w:val="9"/>
                        <w:rPr>
                          <w:rFonts w:eastAsia="黑体"/>
                          <w:b w:val="0"/>
                          <w:bCs/>
                          <w:color w:val="000000"/>
                          <w:sz w:val="21"/>
                          <w:szCs w:val="21"/>
                        </w:rPr>
                      </w:pPr>
                      <w:r>
                        <w:rPr>
                          <w:rFonts w:ascii="黑体" w:hAnsi="黑体" w:eastAsia="黑体"/>
                          <w:b w:val="0"/>
                          <w:bCs/>
                          <w:color w:val="000000"/>
                          <w:sz w:val="21"/>
                          <w:szCs w:val="21"/>
                        </w:rPr>
                        <w:t>表</w:t>
                      </w:r>
                      <w:r>
                        <w:rPr>
                          <w:rFonts w:hint="eastAsia" w:ascii="黑体" w:hAnsi="黑体" w:eastAsia="黑体"/>
                          <w:b w:val="0"/>
                          <w:bCs/>
                          <w:color w:val="000000"/>
                          <w:sz w:val="21"/>
                          <w:szCs w:val="21"/>
                        </w:rPr>
                        <w:t>B.1</w:t>
                      </w:r>
                      <w:r>
                        <w:rPr>
                          <w:rFonts w:eastAsia="黑体"/>
                          <w:b w:val="0"/>
                          <w:bCs/>
                          <w:color w:val="000000"/>
                          <w:sz w:val="21"/>
                          <w:szCs w:val="21"/>
                        </w:rPr>
                        <w:t xml:space="preserve">  </w:t>
                      </w:r>
                      <w:r>
                        <w:rPr>
                          <w:rFonts w:hint="eastAsia" w:eastAsia="黑体"/>
                          <w:b w:val="0"/>
                          <w:bCs/>
                          <w:color w:val="000000"/>
                          <w:sz w:val="21"/>
                          <w:szCs w:val="21"/>
                        </w:rPr>
                        <w:t>张家港</w:t>
                      </w:r>
                      <w:r>
                        <w:rPr>
                          <w:rFonts w:eastAsia="黑体"/>
                          <w:b w:val="0"/>
                          <w:bCs/>
                          <w:color w:val="000000"/>
                          <w:sz w:val="21"/>
                          <w:szCs w:val="21"/>
                        </w:rPr>
                        <w:t>市</w:t>
                      </w:r>
                      <w:r>
                        <w:rPr>
                          <w:rFonts w:hint="eastAsia" w:eastAsia="黑体"/>
                          <w:b w:val="0"/>
                          <w:bCs/>
                          <w:color w:val="000000"/>
                          <w:sz w:val="21"/>
                          <w:szCs w:val="21"/>
                        </w:rPr>
                        <w:t>土壤环境</w:t>
                      </w:r>
                      <w:r>
                        <w:rPr>
                          <w:rFonts w:eastAsia="黑体"/>
                          <w:b w:val="0"/>
                          <w:bCs/>
                          <w:color w:val="000000"/>
                          <w:sz w:val="21"/>
                          <w:szCs w:val="21"/>
                        </w:rPr>
                        <w:t>背景含量的基本统计量</w:t>
                      </w:r>
                      <w:r>
                        <w:rPr>
                          <w:rFonts w:hint="eastAsia" w:ascii="宋体" w:hAnsi="宋体" w:eastAsia="宋体"/>
                          <w:b w:val="0"/>
                          <w:bCs/>
                          <w:color w:val="000000"/>
                          <w:sz w:val="21"/>
                          <w:szCs w:val="21"/>
                        </w:rPr>
                        <w:t>（续）</w:t>
                      </w:r>
                    </w:p>
                    <w:p>
                      <w:pPr>
                        <w:jc w:val="right"/>
                        <w:rPr>
                          <w:rFonts w:ascii="宋体" w:hAnsi="宋体"/>
                          <w:sz w:val="18"/>
                          <w:szCs w:val="18"/>
                        </w:rPr>
                      </w:pPr>
                      <w:r>
                        <w:rPr>
                          <w:rFonts w:hint="eastAsia" w:ascii="宋体" w:hAnsi="宋体" w:eastAsia="宋体"/>
                          <w:color w:val="000000"/>
                          <w:sz w:val="18"/>
                          <w:szCs w:val="18"/>
                        </w:rPr>
                        <w:t>单位：mg/kg</w:t>
                      </w:r>
                    </w:p>
                  </w:txbxContent>
                </v:textbox>
                <w10:wrap type="topAndBottom"/>
              </v:shape>
            </w:pict>
          </mc:Fallback>
        </mc:AlternateContent>
      </w:r>
      <w:r>
        <w:rPr>
          <w:rFonts w:ascii="宋体" w:hAnsi="宋体" w:eastAsia="宋体"/>
          <w:b w:val="0"/>
          <w:bCs/>
          <w:color w:val="000000"/>
          <w:sz w:val="21"/>
          <w:szCs w:val="21"/>
        </w:rPr>
        <w:br w:type="page"/>
      </w:r>
    </w:p>
    <w:p>
      <w:pPr>
        <w:pStyle w:val="9"/>
        <w:rPr>
          <w:rFonts w:eastAsia="黑体"/>
          <w:b w:val="0"/>
          <w:bCs/>
          <w:color w:val="000000"/>
          <w:sz w:val="21"/>
          <w:szCs w:val="21"/>
        </w:rPr>
      </w:pPr>
      <w:r>
        <w:rPr>
          <w:rFonts w:hint="eastAsia" w:ascii="黑体" w:hAnsi="黑体" w:eastAsia="黑体"/>
          <w:b w:val="0"/>
          <w:bCs/>
          <w:color w:val="000000"/>
          <w:sz w:val="21"/>
          <w:szCs w:val="21"/>
        </w:rPr>
        <w:t>表B.2</w:t>
      </w:r>
      <w:r>
        <w:rPr>
          <w:rFonts w:ascii="黑体" w:hAnsi="黑体" w:eastAsia="黑体"/>
          <w:b w:val="0"/>
          <w:bCs/>
          <w:color w:val="000000"/>
          <w:sz w:val="21"/>
          <w:szCs w:val="21"/>
        </w:rPr>
        <w:t xml:space="preserve"> </w:t>
      </w:r>
      <w:r>
        <w:rPr>
          <w:rFonts w:eastAsia="黑体"/>
          <w:b w:val="0"/>
          <w:bCs/>
          <w:color w:val="000000"/>
          <w:sz w:val="21"/>
          <w:szCs w:val="21"/>
        </w:rPr>
        <w:t xml:space="preserve"> 常熟市</w:t>
      </w:r>
      <w:r>
        <w:rPr>
          <w:rFonts w:hint="eastAsia" w:eastAsia="黑体"/>
          <w:b w:val="0"/>
          <w:bCs/>
          <w:color w:val="000000"/>
          <w:sz w:val="21"/>
          <w:szCs w:val="21"/>
        </w:rPr>
        <w:t>土壤环境</w:t>
      </w:r>
      <w:r>
        <w:rPr>
          <w:rFonts w:eastAsia="黑体"/>
          <w:b w:val="0"/>
          <w:bCs/>
          <w:color w:val="000000"/>
          <w:sz w:val="21"/>
          <w:szCs w:val="21"/>
        </w:rPr>
        <w:t>背景含量的基本统计量</w:t>
      </w:r>
    </w:p>
    <w:p>
      <w:pPr>
        <w:jc w:val="right"/>
        <w:rPr>
          <w:rFonts w:ascii="宋体" w:hAnsi="宋体"/>
          <w:sz w:val="18"/>
          <w:szCs w:val="18"/>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851"/>
        <w:gridCol w:w="708"/>
        <w:gridCol w:w="709"/>
        <w:gridCol w:w="709"/>
        <w:gridCol w:w="709"/>
        <w:gridCol w:w="708"/>
        <w:gridCol w:w="709"/>
        <w:gridCol w:w="709"/>
        <w:gridCol w:w="850"/>
        <w:gridCol w:w="709"/>
        <w:gridCol w:w="709"/>
        <w:gridCol w:w="709"/>
        <w:gridCol w:w="708"/>
        <w:gridCol w:w="851"/>
        <w:gridCol w:w="107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675" w:type="dxa"/>
            <w:vMerge w:val="restart"/>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元素</w:t>
            </w:r>
          </w:p>
        </w:tc>
        <w:tc>
          <w:tcPr>
            <w:tcW w:w="2410" w:type="dxa"/>
            <w:vMerge w:val="restart"/>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地貌类型</w:t>
            </w:r>
          </w:p>
        </w:tc>
        <w:tc>
          <w:tcPr>
            <w:tcW w:w="6662" w:type="dxa"/>
            <w:gridSpan w:val="9"/>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顺序统计量（分位值）</w:t>
            </w:r>
          </w:p>
        </w:tc>
        <w:tc>
          <w:tcPr>
            <w:tcW w:w="709" w:type="dxa"/>
            <w:vMerge w:val="restart"/>
            <w:noWrap/>
            <w:vAlign w:val="center"/>
          </w:tcPr>
          <w:p>
            <w:pPr>
              <w:widowControl/>
              <w:adjustRightInd w:val="0"/>
              <w:jc w:val="center"/>
              <w:rPr>
                <w:rFonts w:ascii="宋体" w:hAnsi="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709" w:type="dxa"/>
            <w:vMerge w:val="restart"/>
            <w:noWrap/>
            <w:vAlign w:val="center"/>
          </w:tcPr>
          <w:p>
            <w:pPr>
              <w:widowControl/>
              <w:adjustRightInd w:val="0"/>
              <w:jc w:val="center"/>
              <w:rPr>
                <w:rFonts w:ascii="宋体" w:hAnsi="宋体"/>
                <w:i/>
                <w:iCs/>
                <w:kern w:val="0"/>
                <w:sz w:val="18"/>
                <w:szCs w:val="18"/>
              </w:rPr>
            </w:pPr>
            <w:r>
              <w:rPr>
                <w:rFonts w:hint="eastAsia" w:ascii="宋体" w:hAnsi="宋体" w:cs="宋体"/>
                <w:i/>
                <w:iCs/>
                <w:color w:val="000000"/>
                <w:kern w:val="0"/>
                <w:sz w:val="18"/>
                <w:szCs w:val="18"/>
              </w:rPr>
              <w:t>S</w:t>
            </w:r>
          </w:p>
        </w:tc>
        <w:tc>
          <w:tcPr>
            <w:tcW w:w="709" w:type="dxa"/>
            <w:vMerge w:val="restart"/>
            <w:noWrap/>
            <w:vAlign w:val="center"/>
          </w:tcPr>
          <w:p>
            <w:pPr>
              <w:widowControl/>
              <w:adjustRightInd w:val="0"/>
              <w:jc w:val="center"/>
              <w:rPr>
                <w:rFonts w:ascii="宋体" w:hAnsi="宋体"/>
                <w:i/>
                <w:iCs/>
                <w:kern w:val="0"/>
                <w:sz w:val="18"/>
                <w:szCs w:val="18"/>
              </w:rPr>
            </w:pPr>
            <w:r>
              <w:rPr>
                <w:rFonts w:hint="eastAsia" w:ascii="宋体" w:hAnsi="宋体" w:cs="宋体"/>
                <w:i/>
                <w:iCs/>
                <w:color w:val="000000"/>
                <w:kern w:val="0"/>
                <w:sz w:val="18"/>
                <w:szCs w:val="18"/>
              </w:rPr>
              <w:t>M</w:t>
            </w:r>
          </w:p>
        </w:tc>
        <w:tc>
          <w:tcPr>
            <w:tcW w:w="708" w:type="dxa"/>
            <w:vMerge w:val="restart"/>
            <w:noWrap/>
            <w:vAlign w:val="center"/>
          </w:tcPr>
          <w:p>
            <w:pPr>
              <w:widowControl/>
              <w:adjustRightInd w:val="0"/>
              <w:jc w:val="center"/>
              <w:rPr>
                <w:rFonts w:ascii="宋体" w:hAnsi="宋体"/>
                <w:i/>
                <w:iCs/>
                <w:kern w:val="0"/>
                <w:sz w:val="18"/>
                <w:szCs w:val="18"/>
              </w:rPr>
            </w:pPr>
            <w:r>
              <w:rPr>
                <w:rFonts w:hint="eastAsia" w:ascii="宋体" w:hAnsi="宋体" w:cs="宋体"/>
                <w:i/>
                <w:iCs/>
                <w:color w:val="000000"/>
                <w:kern w:val="0"/>
                <w:sz w:val="18"/>
                <w:szCs w:val="18"/>
              </w:rPr>
              <w:t>D</w:t>
            </w:r>
          </w:p>
        </w:tc>
        <w:tc>
          <w:tcPr>
            <w:tcW w:w="851" w:type="dxa"/>
            <w:vMerge w:val="restart"/>
            <w:vAlign w:val="center"/>
          </w:tcPr>
          <w:p>
            <w:pPr>
              <w:widowControl/>
              <w:adjustRightInd w:val="0"/>
              <w:jc w:val="center"/>
              <w:rPr>
                <w:rFonts w:ascii="宋体" w:hAnsi="宋体"/>
                <w:kern w:val="0"/>
                <w:sz w:val="18"/>
                <w:szCs w:val="18"/>
              </w:rPr>
            </w:pPr>
            <w:r>
              <w:rPr>
                <w:rFonts w:ascii="宋体" w:hAnsi="宋体"/>
                <w:kern w:val="0"/>
                <w:sz w:val="18"/>
                <w:szCs w:val="18"/>
              </w:rPr>
              <w:t>数据</w:t>
            </w:r>
          </w:p>
          <w:p>
            <w:pPr>
              <w:widowControl/>
              <w:adjustRightInd w:val="0"/>
              <w:jc w:val="center"/>
              <w:rPr>
                <w:rFonts w:ascii="宋体" w:hAnsi="宋体"/>
                <w:kern w:val="0"/>
                <w:sz w:val="18"/>
                <w:szCs w:val="18"/>
              </w:rPr>
            </w:pPr>
            <w:r>
              <w:rPr>
                <w:rFonts w:ascii="宋体" w:hAnsi="宋体"/>
                <w:kern w:val="0"/>
                <w:sz w:val="18"/>
                <w:szCs w:val="18"/>
              </w:rPr>
              <w:t>分布</w:t>
            </w:r>
          </w:p>
        </w:tc>
        <w:tc>
          <w:tcPr>
            <w:tcW w:w="1070" w:type="dxa"/>
            <w:vMerge w:val="restart"/>
            <w:vAlign w:val="center"/>
          </w:tcPr>
          <w:p>
            <w:pPr>
              <w:widowControl/>
              <w:adjustRightInd w:val="0"/>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adjustRightInd w:val="0"/>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vMerge w:val="continue"/>
            <w:vAlign w:val="center"/>
          </w:tcPr>
          <w:p>
            <w:pPr>
              <w:widowControl/>
              <w:adjustRightInd w:val="0"/>
              <w:jc w:val="center"/>
              <w:rPr>
                <w:rFonts w:ascii="宋体" w:hAnsi="宋体"/>
                <w:color w:val="000000"/>
                <w:kern w:val="0"/>
                <w:sz w:val="18"/>
                <w:szCs w:val="18"/>
              </w:rPr>
            </w:pPr>
          </w:p>
        </w:tc>
        <w:tc>
          <w:tcPr>
            <w:tcW w:w="851" w:type="dxa"/>
            <w:noWrap/>
            <w:vAlign w:val="center"/>
          </w:tcPr>
          <w:p>
            <w:pPr>
              <w:widowControl/>
              <w:adjustRightInd w:val="0"/>
              <w:jc w:val="center"/>
              <w:rPr>
                <w:rFonts w:ascii="宋体" w:hAnsi="宋体"/>
                <w:kern w:val="0"/>
                <w:sz w:val="18"/>
                <w:szCs w:val="18"/>
              </w:rPr>
            </w:pPr>
            <w:r>
              <w:rPr>
                <w:rFonts w:ascii="宋体" w:hAnsi="宋体"/>
                <w:kern w:val="0"/>
                <w:sz w:val="18"/>
                <w:szCs w:val="18"/>
              </w:rPr>
              <w:t>最小值</w:t>
            </w:r>
          </w:p>
        </w:tc>
        <w:tc>
          <w:tcPr>
            <w:tcW w:w="708" w:type="dxa"/>
            <w:noWrap/>
            <w:vAlign w:val="center"/>
          </w:tcPr>
          <w:p>
            <w:pPr>
              <w:widowControl/>
              <w:adjustRightInd w:val="0"/>
              <w:jc w:val="center"/>
              <w:rPr>
                <w:rFonts w:ascii="宋体" w:hAnsi="宋体"/>
                <w:kern w:val="0"/>
                <w:sz w:val="18"/>
                <w:szCs w:val="18"/>
              </w:rPr>
            </w:pPr>
            <w:r>
              <w:rPr>
                <w:rFonts w:ascii="宋体" w:hAnsi="宋体"/>
                <w:kern w:val="0"/>
                <w:sz w:val="18"/>
                <w:szCs w:val="18"/>
              </w:rPr>
              <w:t>5%</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10%</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25%</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50%</w:t>
            </w:r>
          </w:p>
        </w:tc>
        <w:tc>
          <w:tcPr>
            <w:tcW w:w="708" w:type="dxa"/>
            <w:noWrap/>
            <w:vAlign w:val="center"/>
          </w:tcPr>
          <w:p>
            <w:pPr>
              <w:widowControl/>
              <w:adjustRightInd w:val="0"/>
              <w:jc w:val="center"/>
              <w:rPr>
                <w:rFonts w:ascii="宋体" w:hAnsi="宋体"/>
                <w:kern w:val="0"/>
                <w:sz w:val="18"/>
                <w:szCs w:val="18"/>
              </w:rPr>
            </w:pPr>
            <w:r>
              <w:rPr>
                <w:rFonts w:ascii="宋体" w:hAnsi="宋体"/>
                <w:kern w:val="0"/>
                <w:sz w:val="18"/>
                <w:szCs w:val="18"/>
              </w:rPr>
              <w:t>75%</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90%</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95%</w:t>
            </w:r>
          </w:p>
        </w:tc>
        <w:tc>
          <w:tcPr>
            <w:tcW w:w="850" w:type="dxa"/>
            <w:noWrap/>
            <w:vAlign w:val="center"/>
          </w:tcPr>
          <w:p>
            <w:pPr>
              <w:widowControl/>
              <w:adjustRightInd w:val="0"/>
              <w:jc w:val="center"/>
              <w:rPr>
                <w:rFonts w:ascii="宋体" w:hAnsi="宋体"/>
                <w:kern w:val="0"/>
                <w:sz w:val="18"/>
                <w:szCs w:val="18"/>
              </w:rPr>
            </w:pPr>
            <w:r>
              <w:rPr>
                <w:rFonts w:ascii="宋体" w:hAnsi="宋体"/>
                <w:kern w:val="0"/>
                <w:sz w:val="18"/>
                <w:szCs w:val="18"/>
              </w:rPr>
              <w:t>最大值</w:t>
            </w:r>
          </w:p>
        </w:tc>
        <w:tc>
          <w:tcPr>
            <w:tcW w:w="709" w:type="dxa"/>
            <w:vMerge w:val="continue"/>
            <w:vAlign w:val="center"/>
          </w:tcPr>
          <w:p>
            <w:pPr>
              <w:widowControl/>
              <w:adjustRightInd w:val="0"/>
              <w:jc w:val="center"/>
              <w:rPr>
                <w:rFonts w:ascii="宋体" w:hAnsi="宋体"/>
                <w:kern w:val="0"/>
                <w:sz w:val="18"/>
                <w:szCs w:val="18"/>
              </w:rPr>
            </w:pPr>
          </w:p>
        </w:tc>
        <w:tc>
          <w:tcPr>
            <w:tcW w:w="709" w:type="dxa"/>
            <w:vMerge w:val="continue"/>
            <w:vAlign w:val="center"/>
          </w:tcPr>
          <w:p>
            <w:pPr>
              <w:widowControl/>
              <w:adjustRightInd w:val="0"/>
              <w:jc w:val="center"/>
              <w:rPr>
                <w:rFonts w:ascii="宋体" w:hAnsi="宋体"/>
                <w:kern w:val="0"/>
                <w:sz w:val="18"/>
                <w:szCs w:val="18"/>
              </w:rPr>
            </w:pPr>
          </w:p>
        </w:tc>
        <w:tc>
          <w:tcPr>
            <w:tcW w:w="709" w:type="dxa"/>
            <w:vMerge w:val="continue"/>
            <w:vAlign w:val="center"/>
          </w:tcPr>
          <w:p>
            <w:pPr>
              <w:widowControl/>
              <w:adjustRightInd w:val="0"/>
              <w:jc w:val="center"/>
              <w:rPr>
                <w:rFonts w:ascii="宋体" w:hAnsi="宋体"/>
                <w:kern w:val="0"/>
                <w:sz w:val="18"/>
                <w:szCs w:val="18"/>
              </w:rPr>
            </w:pPr>
          </w:p>
        </w:tc>
        <w:tc>
          <w:tcPr>
            <w:tcW w:w="708" w:type="dxa"/>
            <w:vMerge w:val="continue"/>
            <w:vAlign w:val="center"/>
          </w:tcPr>
          <w:p>
            <w:pPr>
              <w:widowControl/>
              <w:adjustRightInd w:val="0"/>
              <w:jc w:val="center"/>
              <w:rPr>
                <w:rFonts w:ascii="宋体" w:hAnsi="宋体"/>
                <w:kern w:val="0"/>
                <w:sz w:val="18"/>
                <w:szCs w:val="18"/>
              </w:rPr>
            </w:pPr>
          </w:p>
        </w:tc>
        <w:tc>
          <w:tcPr>
            <w:tcW w:w="851" w:type="dxa"/>
            <w:vMerge w:val="continue"/>
            <w:vAlign w:val="center"/>
          </w:tcPr>
          <w:p>
            <w:pPr>
              <w:widowControl/>
              <w:adjustRightInd w:val="0"/>
              <w:jc w:val="center"/>
              <w:rPr>
                <w:rFonts w:ascii="宋体" w:hAnsi="宋体"/>
                <w:kern w:val="0"/>
                <w:sz w:val="18"/>
                <w:szCs w:val="18"/>
              </w:rPr>
            </w:pPr>
          </w:p>
        </w:tc>
        <w:tc>
          <w:tcPr>
            <w:tcW w:w="1070" w:type="dxa"/>
            <w:vMerge w:val="continue"/>
            <w:vAlign w:val="center"/>
          </w:tcPr>
          <w:p>
            <w:pPr>
              <w:widowControl/>
              <w:adjustRightInd w:val="0"/>
              <w:jc w:val="center"/>
              <w:rPr>
                <w:rFonts w:ascii="宋体" w:hAnsi="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镉</w:t>
            </w:r>
          </w:p>
        </w:tc>
        <w:tc>
          <w:tcPr>
            <w:tcW w:w="2410" w:type="dxa"/>
            <w:noWrap/>
            <w:vAlign w:val="center"/>
          </w:tcPr>
          <w:p>
            <w:pPr>
              <w:widowControl/>
              <w:adjustRightInd w:val="0"/>
              <w:jc w:val="center"/>
              <w:rPr>
                <w:rFonts w:ascii="宋体" w:hAnsi="宋体"/>
                <w:color w:val="000000"/>
                <w:kern w:val="0"/>
                <w:sz w:val="18"/>
                <w:szCs w:val="18"/>
              </w:rPr>
            </w:pPr>
            <w:r>
              <w:rPr>
                <w:rFonts w:hint="eastAsia" w:ascii="宋体" w:hAnsi="宋体"/>
                <w:sz w:val="18"/>
                <w:szCs w:val="18"/>
              </w:rPr>
              <w:t>区域内所有涉及地貌类型</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0.004</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0.13</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0.18</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0.27</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0.18</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1.33</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0.27</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汞</w:t>
            </w:r>
          </w:p>
        </w:tc>
        <w:tc>
          <w:tcPr>
            <w:tcW w:w="2410" w:type="dxa"/>
            <w:noWrap/>
            <w:vAlign w:val="center"/>
          </w:tcPr>
          <w:p>
            <w:pPr>
              <w:widowControl/>
              <w:adjustRightInd w:val="0"/>
              <w:jc w:val="center"/>
              <w:rPr>
                <w:rFonts w:ascii="宋体" w:hAnsi="宋体"/>
                <w:color w:val="000000"/>
                <w:kern w:val="0"/>
                <w:sz w:val="18"/>
                <w:szCs w:val="18"/>
              </w:rPr>
            </w:pPr>
            <w:r>
              <w:rPr>
                <w:rFonts w:hint="eastAsia" w:ascii="宋体" w:hAnsi="宋体"/>
                <w:sz w:val="18"/>
                <w:szCs w:val="18"/>
              </w:rPr>
              <w:t>区域内所有涉及地貌类型</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0.04</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0.09</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0.33</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0.37</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1.60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0.09</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1.52</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0.37</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砷</w:t>
            </w:r>
          </w:p>
        </w:tc>
        <w:tc>
          <w:tcPr>
            <w:tcW w:w="2410" w:type="dxa"/>
            <w:noWrap/>
            <w:vAlign w:val="center"/>
          </w:tcPr>
          <w:p>
            <w:pPr>
              <w:widowControl/>
              <w:adjustRightInd w:val="0"/>
              <w:jc w:val="center"/>
              <w:rPr>
                <w:rFonts w:ascii="宋体" w:hAnsi="宋体"/>
                <w:color w:val="000000"/>
                <w:kern w:val="0"/>
                <w:sz w:val="18"/>
                <w:szCs w:val="18"/>
              </w:rPr>
            </w:pPr>
            <w:r>
              <w:rPr>
                <w:rFonts w:hint="eastAsia" w:ascii="宋体" w:hAnsi="宋体"/>
                <w:sz w:val="18"/>
                <w:szCs w:val="18"/>
              </w:rPr>
              <w:t>区域内所有涉及地貌类型</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0.53</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5.56</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6.05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6.77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7.98</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9.20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10.30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11.07</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18.60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8.08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1.81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7.87</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1.28</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11.07</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restart"/>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铅</w:t>
            </w: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冲湖积平原</w:t>
            </w:r>
            <w:r>
              <w:rPr>
                <w:rFonts w:hint="eastAsia" w:ascii="宋体" w:hAnsi="宋体"/>
                <w:color w:val="000000"/>
                <w:kern w:val="0"/>
                <w:sz w:val="18"/>
                <w:szCs w:val="18"/>
              </w:rPr>
              <w:t>/丘陵</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7.79</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25.40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27.00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29.50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32.40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36.90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44.50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52.54</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69.50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34.37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8.09</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33.55</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1.24</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52.54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高亢平原及黄土岗地</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20.40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24.51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25.23</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26.25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27.85</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30.48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35.37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38.81</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46.40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29.12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4.65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28.79</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1.16</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38.81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长江新三角洲平原及边滩</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2.64</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20.65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22.25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23.89</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25.80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28.20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31.70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33.75</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45.50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26.37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4.44</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25.95</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1.22</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33.75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铬</w:t>
            </w:r>
          </w:p>
        </w:tc>
        <w:tc>
          <w:tcPr>
            <w:tcW w:w="2410" w:type="dxa"/>
            <w:noWrap/>
            <w:vAlign w:val="center"/>
          </w:tcPr>
          <w:p>
            <w:pPr>
              <w:widowControl/>
              <w:adjustRightInd w:val="0"/>
              <w:jc w:val="center"/>
              <w:rPr>
                <w:rFonts w:ascii="宋体" w:hAnsi="宋体"/>
                <w:color w:val="000000"/>
                <w:kern w:val="0"/>
                <w:sz w:val="18"/>
                <w:szCs w:val="18"/>
              </w:rPr>
            </w:pPr>
            <w:r>
              <w:rPr>
                <w:rFonts w:hint="eastAsia" w:ascii="宋体" w:hAnsi="宋体"/>
                <w:sz w:val="18"/>
                <w:szCs w:val="18"/>
              </w:rPr>
              <w:t>区域内所有涉及地貌类型</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23.03</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62.40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66.43</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71.83</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79.00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85.10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90.87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94.74</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114.0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78.58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10.09</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77.89</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1.15</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94.74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restart"/>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铜</w:t>
            </w: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冲湖积平原</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0.05</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26.00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27.50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30.50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33.80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38.20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45.21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49.11</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59.80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35.01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7.22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33.90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1.45</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49.11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高亢平原及黄土岗地</w:t>
            </w:r>
            <w:r>
              <w:rPr>
                <w:rFonts w:hint="eastAsia" w:ascii="宋体" w:hAnsi="宋体"/>
                <w:color w:val="000000"/>
                <w:kern w:val="0"/>
                <w:sz w:val="18"/>
                <w:szCs w:val="18"/>
              </w:rPr>
              <w:t>/丘陵</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18.00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20.90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22.67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25.10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26.75</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29.95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33.03</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36.06</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50.20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27.84</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5.29</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27.40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1.19</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36.06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长江新三角洲平原及边滩</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13.90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19.60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21.16</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22.75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24.70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27.15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31.40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35.80</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56.40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25.70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5.21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25.26</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1.20</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35.80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restart"/>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锌</w:t>
            </w: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冲湖积平原</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36.20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64.32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70.30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79.80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91.90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104.0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118.0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128.0</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149.0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92.98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19.28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90.95</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1.24</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128.0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高亢平原及黄土岗地</w:t>
            </w:r>
            <w:r>
              <w:rPr>
                <w:rFonts w:hint="eastAsia" w:ascii="宋体" w:hAnsi="宋体"/>
                <w:color w:val="000000"/>
                <w:kern w:val="0"/>
                <w:sz w:val="18"/>
                <w:szCs w:val="18"/>
              </w:rPr>
              <w:t>/丘陵</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41.00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56.92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60.43</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64.90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72.40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79.60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87.76</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97.87</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118.0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73.82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13.02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72.72</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1.19</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97.87</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长江新三角洲平原及边滩</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39.78</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68.54</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74.17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82.00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89.85</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98.68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108.0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114.0</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146.0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90.56</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14.26</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89.42</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1.17</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114.0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restart"/>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镍</w:t>
            </w: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冲湖积平原</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18.61</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27.80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29.50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32.90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35.80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38.50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40.72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42.40</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52.00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35.49</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4.67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35.17</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1.15</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42.40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高亢平原及黄土岗地</w:t>
            </w:r>
            <w:r>
              <w:rPr>
                <w:rFonts w:hint="eastAsia" w:ascii="宋体" w:hAnsi="宋体"/>
                <w:color w:val="000000"/>
                <w:kern w:val="0"/>
                <w:sz w:val="18"/>
                <w:szCs w:val="18"/>
              </w:rPr>
              <w:t>/丘陵</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18.70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23.12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24.84</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27.78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30.10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31.50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34.18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34.67</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37.35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29.61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3.55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29.38</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1.14</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34.67</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长江新三角洲平原及边滩</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14.37</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24.38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25.89</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28.80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31.00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33.90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36.81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38.71</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51.30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31.34</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4.85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30.96</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1.17</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38.71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钴</w:t>
            </w:r>
          </w:p>
        </w:tc>
        <w:tc>
          <w:tcPr>
            <w:tcW w:w="2410" w:type="dxa"/>
            <w:noWrap/>
            <w:vAlign w:val="center"/>
          </w:tcPr>
          <w:p>
            <w:pPr>
              <w:widowControl/>
              <w:adjustRightInd w:val="0"/>
              <w:jc w:val="center"/>
              <w:rPr>
                <w:rFonts w:ascii="宋体" w:hAnsi="宋体"/>
                <w:color w:val="000000"/>
                <w:kern w:val="0"/>
                <w:sz w:val="18"/>
                <w:szCs w:val="18"/>
              </w:rPr>
            </w:pPr>
            <w:r>
              <w:rPr>
                <w:rFonts w:hint="eastAsia" w:ascii="宋体" w:hAnsi="宋体"/>
                <w:sz w:val="18"/>
                <w:szCs w:val="18"/>
              </w:rPr>
              <w:t>区域内所有涉及地貌类型</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5.96</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10.50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11.40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12.35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13.60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14.80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15.70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16.23</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22.30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13.57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1.90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13.43</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1.16</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16.23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锰</w:t>
            </w:r>
          </w:p>
        </w:tc>
        <w:tc>
          <w:tcPr>
            <w:tcW w:w="2410" w:type="dxa"/>
            <w:noWrap/>
            <w:vAlign w:val="center"/>
          </w:tcPr>
          <w:p>
            <w:pPr>
              <w:widowControl/>
              <w:adjustRightInd w:val="0"/>
              <w:jc w:val="center"/>
              <w:rPr>
                <w:rFonts w:ascii="宋体" w:hAnsi="宋体"/>
                <w:color w:val="000000"/>
                <w:kern w:val="0"/>
                <w:sz w:val="18"/>
                <w:szCs w:val="18"/>
              </w:rPr>
            </w:pPr>
            <w:r>
              <w:rPr>
                <w:rFonts w:hint="eastAsia" w:ascii="宋体" w:hAnsi="宋体"/>
                <w:sz w:val="18"/>
                <w:szCs w:val="18"/>
              </w:rPr>
              <w:t>区域内所有涉及地貌类型</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212.0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412.5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452.0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503.5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558.0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631.0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685.2</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728.6</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982.0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566.6</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103.1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557.0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1.21</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728.6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钒</w:t>
            </w:r>
          </w:p>
        </w:tc>
        <w:tc>
          <w:tcPr>
            <w:tcW w:w="2410" w:type="dxa"/>
            <w:noWrap/>
            <w:vAlign w:val="center"/>
          </w:tcPr>
          <w:p>
            <w:pPr>
              <w:widowControl/>
              <w:adjustRightInd w:val="0"/>
              <w:jc w:val="center"/>
              <w:rPr>
                <w:rFonts w:ascii="宋体" w:hAnsi="宋体"/>
                <w:color w:val="000000"/>
                <w:kern w:val="0"/>
                <w:sz w:val="18"/>
                <w:szCs w:val="18"/>
              </w:rPr>
            </w:pPr>
            <w:r>
              <w:rPr>
                <w:rFonts w:hint="eastAsia" w:ascii="宋体" w:hAnsi="宋体"/>
                <w:sz w:val="18"/>
                <w:szCs w:val="18"/>
              </w:rPr>
              <w:t>区域内所有涉及地貌类型</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24.10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40.57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49.70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84.70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96.80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103.0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108.6</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111.0</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121.0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90.10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20.58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86.76</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1.36</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111.0</w:t>
            </w:r>
          </w:p>
        </w:tc>
      </w:tr>
    </w:tbl>
    <w:p/>
    <w:p>
      <w:pPr>
        <w:pStyle w:val="9"/>
        <w:rPr>
          <w:rFonts w:eastAsia="黑体"/>
          <w:b w:val="0"/>
          <w:bCs/>
          <w:color w:val="000000"/>
          <w:sz w:val="21"/>
          <w:szCs w:val="21"/>
        </w:rPr>
      </w:pPr>
      <w:r>
        <w:rPr>
          <w:rFonts w:hint="eastAsia" w:ascii="黑体" w:hAnsi="黑体" w:eastAsia="黑体"/>
          <w:b w:val="0"/>
          <w:bCs/>
          <w:color w:val="000000"/>
          <w:sz w:val="21"/>
          <w:szCs w:val="21"/>
        </w:rPr>
        <w:t>表B.2</w:t>
      </w:r>
      <w:r>
        <w:rPr>
          <w:rFonts w:ascii="黑体" w:hAnsi="黑体" w:eastAsia="黑体"/>
          <w:b w:val="0"/>
          <w:bCs/>
          <w:color w:val="000000"/>
          <w:sz w:val="21"/>
          <w:szCs w:val="21"/>
        </w:rPr>
        <w:t xml:space="preserve"> </w:t>
      </w:r>
      <w:r>
        <w:rPr>
          <w:rFonts w:eastAsia="黑体"/>
          <w:b w:val="0"/>
          <w:bCs/>
          <w:color w:val="000000"/>
          <w:sz w:val="21"/>
          <w:szCs w:val="21"/>
        </w:rPr>
        <w:t xml:space="preserve"> 常熟市</w:t>
      </w:r>
      <w:r>
        <w:rPr>
          <w:rFonts w:hint="eastAsia" w:eastAsia="黑体"/>
          <w:b w:val="0"/>
          <w:bCs/>
          <w:color w:val="000000"/>
          <w:sz w:val="21"/>
          <w:szCs w:val="21"/>
        </w:rPr>
        <w:t>土壤环境</w:t>
      </w:r>
      <w:r>
        <w:rPr>
          <w:rFonts w:eastAsia="黑体"/>
          <w:b w:val="0"/>
          <w:bCs/>
          <w:color w:val="000000"/>
          <w:sz w:val="21"/>
          <w:szCs w:val="21"/>
        </w:rPr>
        <w:t>背景含量的基本统计量</w:t>
      </w:r>
      <w:r>
        <w:rPr>
          <w:rFonts w:hint="eastAsia" w:ascii="宋体" w:hAnsi="宋体" w:eastAsia="宋体" w:cs="宋体"/>
          <w:b w:val="0"/>
          <w:bCs/>
          <w:color w:val="000000"/>
          <w:sz w:val="21"/>
          <w:szCs w:val="21"/>
        </w:rPr>
        <w:t>（续）</w:t>
      </w:r>
    </w:p>
    <w:p>
      <w:pPr>
        <w:jc w:val="right"/>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851"/>
        <w:gridCol w:w="708"/>
        <w:gridCol w:w="709"/>
        <w:gridCol w:w="709"/>
        <w:gridCol w:w="709"/>
        <w:gridCol w:w="708"/>
        <w:gridCol w:w="709"/>
        <w:gridCol w:w="709"/>
        <w:gridCol w:w="850"/>
        <w:gridCol w:w="709"/>
        <w:gridCol w:w="709"/>
        <w:gridCol w:w="709"/>
        <w:gridCol w:w="708"/>
        <w:gridCol w:w="851"/>
        <w:gridCol w:w="107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675" w:type="dxa"/>
            <w:vMerge w:val="restart"/>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元素</w:t>
            </w:r>
          </w:p>
        </w:tc>
        <w:tc>
          <w:tcPr>
            <w:tcW w:w="2410" w:type="dxa"/>
            <w:vMerge w:val="restart"/>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地貌类型</w:t>
            </w:r>
          </w:p>
        </w:tc>
        <w:tc>
          <w:tcPr>
            <w:tcW w:w="6662" w:type="dxa"/>
            <w:gridSpan w:val="9"/>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顺序统计量（分位值）</w:t>
            </w:r>
          </w:p>
        </w:tc>
        <w:tc>
          <w:tcPr>
            <w:tcW w:w="709" w:type="dxa"/>
            <w:vMerge w:val="restart"/>
            <w:noWrap/>
            <w:vAlign w:val="center"/>
          </w:tcPr>
          <w:p>
            <w:pPr>
              <w:widowControl/>
              <w:adjustRightInd w:val="0"/>
              <w:jc w:val="center"/>
              <w:rPr>
                <w:rFonts w:ascii="宋体" w:hAnsi="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709" w:type="dxa"/>
            <w:vMerge w:val="restart"/>
            <w:noWrap/>
            <w:vAlign w:val="center"/>
          </w:tcPr>
          <w:p>
            <w:pPr>
              <w:widowControl/>
              <w:adjustRightInd w:val="0"/>
              <w:jc w:val="center"/>
              <w:rPr>
                <w:rFonts w:ascii="宋体" w:hAnsi="宋体"/>
                <w:i/>
                <w:iCs/>
                <w:kern w:val="0"/>
                <w:sz w:val="18"/>
                <w:szCs w:val="18"/>
              </w:rPr>
            </w:pPr>
            <w:r>
              <w:rPr>
                <w:rFonts w:hint="eastAsia" w:ascii="宋体" w:hAnsi="宋体" w:cs="宋体"/>
                <w:i/>
                <w:iCs/>
                <w:color w:val="000000"/>
                <w:kern w:val="0"/>
                <w:sz w:val="18"/>
                <w:szCs w:val="18"/>
              </w:rPr>
              <w:t>S</w:t>
            </w:r>
          </w:p>
        </w:tc>
        <w:tc>
          <w:tcPr>
            <w:tcW w:w="709" w:type="dxa"/>
            <w:vMerge w:val="restart"/>
            <w:noWrap/>
            <w:vAlign w:val="center"/>
          </w:tcPr>
          <w:p>
            <w:pPr>
              <w:widowControl/>
              <w:adjustRightInd w:val="0"/>
              <w:jc w:val="center"/>
              <w:rPr>
                <w:rFonts w:ascii="宋体" w:hAnsi="宋体"/>
                <w:i/>
                <w:iCs/>
                <w:kern w:val="0"/>
                <w:sz w:val="18"/>
                <w:szCs w:val="18"/>
              </w:rPr>
            </w:pPr>
            <w:r>
              <w:rPr>
                <w:rFonts w:hint="eastAsia" w:ascii="宋体" w:hAnsi="宋体" w:cs="宋体"/>
                <w:i/>
                <w:iCs/>
                <w:color w:val="000000"/>
                <w:kern w:val="0"/>
                <w:sz w:val="18"/>
                <w:szCs w:val="18"/>
              </w:rPr>
              <w:t>M</w:t>
            </w:r>
          </w:p>
        </w:tc>
        <w:tc>
          <w:tcPr>
            <w:tcW w:w="708" w:type="dxa"/>
            <w:vMerge w:val="restart"/>
            <w:noWrap/>
            <w:vAlign w:val="center"/>
          </w:tcPr>
          <w:p>
            <w:pPr>
              <w:widowControl/>
              <w:adjustRightInd w:val="0"/>
              <w:jc w:val="center"/>
              <w:rPr>
                <w:rFonts w:ascii="宋体" w:hAnsi="宋体"/>
                <w:i/>
                <w:iCs/>
                <w:kern w:val="0"/>
                <w:sz w:val="18"/>
                <w:szCs w:val="18"/>
              </w:rPr>
            </w:pPr>
            <w:r>
              <w:rPr>
                <w:rFonts w:hint="eastAsia" w:ascii="宋体" w:hAnsi="宋体" w:cs="宋体"/>
                <w:i/>
                <w:iCs/>
                <w:color w:val="000000"/>
                <w:kern w:val="0"/>
                <w:sz w:val="18"/>
                <w:szCs w:val="18"/>
              </w:rPr>
              <w:t>D</w:t>
            </w:r>
          </w:p>
        </w:tc>
        <w:tc>
          <w:tcPr>
            <w:tcW w:w="851" w:type="dxa"/>
            <w:vMerge w:val="restart"/>
            <w:vAlign w:val="center"/>
          </w:tcPr>
          <w:p>
            <w:pPr>
              <w:widowControl/>
              <w:adjustRightInd w:val="0"/>
              <w:jc w:val="center"/>
              <w:rPr>
                <w:rFonts w:ascii="宋体" w:hAnsi="宋体"/>
                <w:kern w:val="0"/>
                <w:sz w:val="18"/>
                <w:szCs w:val="18"/>
              </w:rPr>
            </w:pPr>
            <w:r>
              <w:rPr>
                <w:rFonts w:ascii="宋体" w:hAnsi="宋体"/>
                <w:kern w:val="0"/>
                <w:sz w:val="18"/>
                <w:szCs w:val="18"/>
              </w:rPr>
              <w:t>数据</w:t>
            </w:r>
          </w:p>
          <w:p>
            <w:pPr>
              <w:widowControl/>
              <w:adjustRightInd w:val="0"/>
              <w:jc w:val="center"/>
              <w:rPr>
                <w:rFonts w:ascii="宋体" w:hAnsi="宋体"/>
                <w:kern w:val="0"/>
                <w:sz w:val="18"/>
                <w:szCs w:val="18"/>
              </w:rPr>
            </w:pPr>
            <w:r>
              <w:rPr>
                <w:rFonts w:ascii="宋体" w:hAnsi="宋体"/>
                <w:kern w:val="0"/>
                <w:sz w:val="18"/>
                <w:szCs w:val="18"/>
              </w:rPr>
              <w:t>分布</w:t>
            </w:r>
          </w:p>
        </w:tc>
        <w:tc>
          <w:tcPr>
            <w:tcW w:w="1070" w:type="dxa"/>
            <w:vMerge w:val="restart"/>
            <w:vAlign w:val="center"/>
          </w:tcPr>
          <w:p>
            <w:pPr>
              <w:widowControl/>
              <w:adjustRightInd w:val="0"/>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adjustRightInd w:val="0"/>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vMerge w:val="continue"/>
            <w:vAlign w:val="center"/>
          </w:tcPr>
          <w:p>
            <w:pPr>
              <w:widowControl/>
              <w:adjustRightInd w:val="0"/>
              <w:jc w:val="center"/>
              <w:rPr>
                <w:rFonts w:ascii="宋体" w:hAnsi="宋体"/>
                <w:color w:val="000000"/>
                <w:kern w:val="0"/>
                <w:sz w:val="18"/>
                <w:szCs w:val="18"/>
              </w:rPr>
            </w:pPr>
          </w:p>
        </w:tc>
        <w:tc>
          <w:tcPr>
            <w:tcW w:w="851" w:type="dxa"/>
            <w:noWrap/>
            <w:vAlign w:val="center"/>
          </w:tcPr>
          <w:p>
            <w:pPr>
              <w:widowControl/>
              <w:adjustRightInd w:val="0"/>
              <w:jc w:val="center"/>
              <w:rPr>
                <w:rFonts w:ascii="宋体" w:hAnsi="宋体"/>
                <w:kern w:val="0"/>
                <w:sz w:val="18"/>
                <w:szCs w:val="18"/>
              </w:rPr>
            </w:pPr>
            <w:r>
              <w:rPr>
                <w:rFonts w:ascii="宋体" w:hAnsi="宋体"/>
                <w:kern w:val="0"/>
                <w:sz w:val="18"/>
                <w:szCs w:val="18"/>
              </w:rPr>
              <w:t>最小值</w:t>
            </w:r>
          </w:p>
        </w:tc>
        <w:tc>
          <w:tcPr>
            <w:tcW w:w="708" w:type="dxa"/>
            <w:noWrap/>
            <w:vAlign w:val="center"/>
          </w:tcPr>
          <w:p>
            <w:pPr>
              <w:widowControl/>
              <w:adjustRightInd w:val="0"/>
              <w:jc w:val="center"/>
              <w:rPr>
                <w:rFonts w:ascii="宋体" w:hAnsi="宋体"/>
                <w:kern w:val="0"/>
                <w:sz w:val="18"/>
                <w:szCs w:val="18"/>
              </w:rPr>
            </w:pPr>
            <w:r>
              <w:rPr>
                <w:rFonts w:ascii="宋体" w:hAnsi="宋体"/>
                <w:kern w:val="0"/>
                <w:sz w:val="18"/>
                <w:szCs w:val="18"/>
              </w:rPr>
              <w:t>5%</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10%</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25%</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50%</w:t>
            </w:r>
          </w:p>
        </w:tc>
        <w:tc>
          <w:tcPr>
            <w:tcW w:w="708" w:type="dxa"/>
            <w:noWrap/>
            <w:vAlign w:val="center"/>
          </w:tcPr>
          <w:p>
            <w:pPr>
              <w:widowControl/>
              <w:adjustRightInd w:val="0"/>
              <w:jc w:val="center"/>
              <w:rPr>
                <w:rFonts w:ascii="宋体" w:hAnsi="宋体"/>
                <w:kern w:val="0"/>
                <w:sz w:val="18"/>
                <w:szCs w:val="18"/>
              </w:rPr>
            </w:pPr>
            <w:r>
              <w:rPr>
                <w:rFonts w:ascii="宋体" w:hAnsi="宋体"/>
                <w:kern w:val="0"/>
                <w:sz w:val="18"/>
                <w:szCs w:val="18"/>
              </w:rPr>
              <w:t>75%</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90%</w:t>
            </w:r>
          </w:p>
        </w:tc>
        <w:tc>
          <w:tcPr>
            <w:tcW w:w="709" w:type="dxa"/>
            <w:noWrap/>
            <w:vAlign w:val="center"/>
          </w:tcPr>
          <w:p>
            <w:pPr>
              <w:widowControl/>
              <w:adjustRightInd w:val="0"/>
              <w:jc w:val="center"/>
              <w:rPr>
                <w:rFonts w:ascii="宋体" w:hAnsi="宋体"/>
                <w:kern w:val="0"/>
                <w:sz w:val="18"/>
                <w:szCs w:val="18"/>
              </w:rPr>
            </w:pPr>
            <w:r>
              <w:rPr>
                <w:rFonts w:ascii="宋体" w:hAnsi="宋体"/>
                <w:kern w:val="0"/>
                <w:sz w:val="18"/>
                <w:szCs w:val="18"/>
              </w:rPr>
              <w:t>95%</w:t>
            </w:r>
          </w:p>
        </w:tc>
        <w:tc>
          <w:tcPr>
            <w:tcW w:w="850" w:type="dxa"/>
            <w:noWrap/>
            <w:vAlign w:val="center"/>
          </w:tcPr>
          <w:p>
            <w:pPr>
              <w:widowControl/>
              <w:adjustRightInd w:val="0"/>
              <w:jc w:val="center"/>
              <w:rPr>
                <w:rFonts w:ascii="宋体" w:hAnsi="宋体"/>
                <w:kern w:val="0"/>
                <w:sz w:val="18"/>
                <w:szCs w:val="18"/>
              </w:rPr>
            </w:pPr>
            <w:r>
              <w:rPr>
                <w:rFonts w:ascii="宋体" w:hAnsi="宋体"/>
                <w:kern w:val="0"/>
                <w:sz w:val="18"/>
                <w:szCs w:val="18"/>
              </w:rPr>
              <w:t>最大值</w:t>
            </w:r>
          </w:p>
        </w:tc>
        <w:tc>
          <w:tcPr>
            <w:tcW w:w="709" w:type="dxa"/>
            <w:vMerge w:val="continue"/>
            <w:vAlign w:val="center"/>
          </w:tcPr>
          <w:p>
            <w:pPr>
              <w:widowControl/>
              <w:adjustRightInd w:val="0"/>
              <w:jc w:val="center"/>
              <w:rPr>
                <w:rFonts w:ascii="宋体" w:hAnsi="宋体"/>
                <w:kern w:val="0"/>
                <w:sz w:val="18"/>
                <w:szCs w:val="18"/>
              </w:rPr>
            </w:pPr>
          </w:p>
        </w:tc>
        <w:tc>
          <w:tcPr>
            <w:tcW w:w="709" w:type="dxa"/>
            <w:vMerge w:val="continue"/>
            <w:vAlign w:val="center"/>
          </w:tcPr>
          <w:p>
            <w:pPr>
              <w:widowControl/>
              <w:adjustRightInd w:val="0"/>
              <w:jc w:val="center"/>
              <w:rPr>
                <w:rFonts w:ascii="宋体" w:hAnsi="宋体"/>
                <w:kern w:val="0"/>
                <w:sz w:val="18"/>
                <w:szCs w:val="18"/>
              </w:rPr>
            </w:pPr>
          </w:p>
        </w:tc>
        <w:tc>
          <w:tcPr>
            <w:tcW w:w="709" w:type="dxa"/>
            <w:vMerge w:val="continue"/>
            <w:vAlign w:val="center"/>
          </w:tcPr>
          <w:p>
            <w:pPr>
              <w:widowControl/>
              <w:adjustRightInd w:val="0"/>
              <w:jc w:val="center"/>
              <w:rPr>
                <w:rFonts w:ascii="宋体" w:hAnsi="宋体"/>
                <w:kern w:val="0"/>
                <w:sz w:val="18"/>
                <w:szCs w:val="18"/>
              </w:rPr>
            </w:pPr>
          </w:p>
        </w:tc>
        <w:tc>
          <w:tcPr>
            <w:tcW w:w="708" w:type="dxa"/>
            <w:vMerge w:val="continue"/>
            <w:vAlign w:val="center"/>
          </w:tcPr>
          <w:p>
            <w:pPr>
              <w:widowControl/>
              <w:adjustRightInd w:val="0"/>
              <w:jc w:val="center"/>
              <w:rPr>
                <w:rFonts w:ascii="宋体" w:hAnsi="宋体"/>
                <w:kern w:val="0"/>
                <w:sz w:val="18"/>
                <w:szCs w:val="18"/>
              </w:rPr>
            </w:pPr>
          </w:p>
        </w:tc>
        <w:tc>
          <w:tcPr>
            <w:tcW w:w="851" w:type="dxa"/>
            <w:vMerge w:val="continue"/>
            <w:vAlign w:val="center"/>
          </w:tcPr>
          <w:p>
            <w:pPr>
              <w:widowControl/>
              <w:adjustRightInd w:val="0"/>
              <w:jc w:val="center"/>
              <w:rPr>
                <w:rFonts w:ascii="宋体" w:hAnsi="宋体"/>
                <w:kern w:val="0"/>
                <w:sz w:val="18"/>
                <w:szCs w:val="18"/>
              </w:rPr>
            </w:pPr>
          </w:p>
        </w:tc>
        <w:tc>
          <w:tcPr>
            <w:tcW w:w="1070" w:type="dxa"/>
            <w:vMerge w:val="continue"/>
            <w:vAlign w:val="center"/>
          </w:tcPr>
          <w:p>
            <w:pPr>
              <w:widowControl/>
              <w:adjustRightInd w:val="0"/>
              <w:jc w:val="center"/>
              <w:rPr>
                <w:rFonts w:ascii="宋体" w:hAnsi="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75" w:type="dxa"/>
            <w:vMerge w:val="restart"/>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硒</w:t>
            </w: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冲湖积平原</w:t>
            </w:r>
            <w:r>
              <w:rPr>
                <w:rFonts w:hint="eastAsia" w:ascii="宋体" w:hAnsi="宋体"/>
                <w:color w:val="000000"/>
                <w:kern w:val="0"/>
                <w:sz w:val="18"/>
                <w:szCs w:val="18"/>
              </w:rPr>
              <w:t>/</w:t>
            </w:r>
            <w:r>
              <w:rPr>
                <w:rFonts w:ascii="宋体" w:hAnsi="宋体"/>
                <w:color w:val="000000"/>
                <w:kern w:val="0"/>
                <w:sz w:val="18"/>
                <w:szCs w:val="18"/>
              </w:rPr>
              <w:t>高亢平原及黄土岗地</w:t>
            </w:r>
            <w:r>
              <w:rPr>
                <w:rFonts w:hint="eastAsia" w:ascii="宋体" w:hAnsi="宋体"/>
                <w:color w:val="000000"/>
                <w:kern w:val="0"/>
                <w:sz w:val="18"/>
                <w:szCs w:val="18"/>
              </w:rPr>
              <w:t>/</w:t>
            </w:r>
            <w:r>
              <w:rPr>
                <w:rFonts w:ascii="宋体" w:hAnsi="宋体"/>
                <w:color w:val="000000"/>
                <w:kern w:val="0"/>
                <w:sz w:val="18"/>
                <w:szCs w:val="18"/>
              </w:rPr>
              <w:t>丘陵</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0.03</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0.23</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0.27</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0.33</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0.41</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1.09</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0.08</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0.30</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1.26</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0.41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5" w:type="dxa"/>
            <w:vMerge w:val="continue"/>
            <w:vAlign w:val="center"/>
          </w:tcPr>
          <w:p>
            <w:pPr>
              <w:widowControl/>
              <w:adjustRightInd w:val="0"/>
              <w:jc w:val="center"/>
              <w:rPr>
                <w:rFonts w:ascii="宋体" w:hAnsi="宋体"/>
                <w:color w:val="000000"/>
                <w:kern w:val="0"/>
                <w:sz w:val="18"/>
                <w:szCs w:val="18"/>
              </w:rPr>
            </w:pPr>
          </w:p>
        </w:tc>
        <w:tc>
          <w:tcPr>
            <w:tcW w:w="241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长江新三角洲平原及边滩</w:t>
            </w:r>
          </w:p>
        </w:tc>
        <w:tc>
          <w:tcPr>
            <w:tcW w:w="851"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0.01</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0.14</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0.20</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0.22</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0.24</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0.26</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0.30</w:t>
            </w:r>
          </w:p>
        </w:tc>
        <w:tc>
          <w:tcPr>
            <w:tcW w:w="850"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0.35</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0.21</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0.06</w:t>
            </w:r>
          </w:p>
        </w:tc>
        <w:tc>
          <w:tcPr>
            <w:tcW w:w="709"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0.19</w:t>
            </w:r>
          </w:p>
        </w:tc>
        <w:tc>
          <w:tcPr>
            <w:tcW w:w="708" w:type="dxa"/>
            <w:noWrap/>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1.72</w:t>
            </w:r>
          </w:p>
        </w:tc>
        <w:tc>
          <w:tcPr>
            <w:tcW w:w="851"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偏态</w:t>
            </w:r>
          </w:p>
        </w:tc>
        <w:tc>
          <w:tcPr>
            <w:tcW w:w="1070" w:type="dxa"/>
            <w:vAlign w:val="center"/>
          </w:tcPr>
          <w:p>
            <w:pPr>
              <w:widowControl/>
              <w:adjustRightInd w:val="0"/>
              <w:jc w:val="center"/>
              <w:rPr>
                <w:rFonts w:ascii="宋体" w:hAnsi="宋体"/>
                <w:color w:val="000000"/>
                <w:kern w:val="0"/>
                <w:sz w:val="18"/>
                <w:szCs w:val="18"/>
              </w:rPr>
            </w:pPr>
            <w:r>
              <w:rPr>
                <w:rFonts w:ascii="宋体" w:hAnsi="宋体"/>
                <w:color w:val="000000"/>
                <w:kern w:val="0"/>
                <w:sz w:val="18"/>
                <w:szCs w:val="18"/>
              </w:rPr>
              <w:t>0.30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503" w:type="dxa"/>
            <w:gridSpan w:val="17"/>
            <w:vAlign w:val="center"/>
          </w:tcPr>
          <w:p>
            <w:pPr>
              <w:widowControl/>
              <w:adjustRightInd w:val="0"/>
              <w:jc w:val="left"/>
              <w:rPr>
                <w:rFonts w:ascii="宋体" w:hAnsi="宋体"/>
                <w:color w:val="000000"/>
                <w:kern w:val="0"/>
                <w:sz w:val="18"/>
                <w:szCs w:val="18"/>
              </w:rPr>
            </w:pPr>
            <w:r>
              <w:rPr>
                <w:rFonts w:hint="eastAsia" w:ascii="黑体" w:hAnsi="黑体" w:eastAsia="黑体"/>
                <w:color w:val="000000"/>
                <w:kern w:val="0"/>
                <w:sz w:val="18"/>
                <w:szCs w:val="18"/>
              </w:rPr>
              <w:t>注：</w:t>
            </w:r>
            <w:r>
              <w:rPr>
                <w:rFonts w:hint="eastAsia" w:ascii="宋体" w:hAnsi="宋体"/>
                <w:color w:val="000000"/>
                <w:kern w:val="0"/>
                <w:sz w:val="18"/>
                <w:szCs w:val="18"/>
              </w:rPr>
              <w:t>区域内所有涉及地貌类型包括丘陵、冲湖积平原、长江新三角洲平原及边滩、高亢平原及黄土岗地。</w:t>
            </w:r>
          </w:p>
        </w:tc>
      </w:tr>
    </w:tbl>
    <w:p>
      <w:pPr>
        <w:pStyle w:val="9"/>
        <w:spacing w:line="360" w:lineRule="auto"/>
        <w:rPr>
          <w:rFonts w:ascii="黑体" w:hAnsi="黑体" w:eastAsia="黑体"/>
          <w:b w:val="0"/>
          <w:bCs/>
          <w:color w:val="000000"/>
          <w:sz w:val="21"/>
          <w:szCs w:val="21"/>
        </w:rPr>
      </w:pPr>
    </w:p>
    <w:p>
      <w:pPr>
        <w:pStyle w:val="9"/>
        <w:rPr>
          <w:b w:val="0"/>
          <w:bCs/>
        </w:rPr>
      </w:pPr>
      <w:r>
        <w:rPr>
          <w:rFonts w:ascii="黑体" w:hAnsi="黑体" w:eastAsia="黑体"/>
          <w:b w:val="0"/>
          <w:bCs/>
          <w:color w:val="000000"/>
          <w:sz w:val="21"/>
          <w:szCs w:val="21"/>
        </w:rPr>
        <w:t>表</w:t>
      </w:r>
      <w:r>
        <w:rPr>
          <w:rFonts w:hint="eastAsia" w:ascii="黑体" w:hAnsi="黑体" w:eastAsia="黑体"/>
          <w:b w:val="0"/>
          <w:bCs/>
          <w:color w:val="000000"/>
          <w:sz w:val="21"/>
          <w:szCs w:val="21"/>
        </w:rPr>
        <w:t>B.3</w:t>
      </w:r>
      <w:r>
        <w:rPr>
          <w:rFonts w:eastAsia="黑体"/>
          <w:b w:val="0"/>
          <w:bCs/>
          <w:color w:val="000000"/>
          <w:sz w:val="21"/>
          <w:szCs w:val="21"/>
        </w:rPr>
        <w:t xml:space="preserve">  太仓市</w:t>
      </w:r>
      <w:r>
        <w:rPr>
          <w:rFonts w:hint="eastAsia" w:eastAsia="黑体"/>
          <w:b w:val="0"/>
          <w:bCs/>
          <w:color w:val="000000"/>
          <w:sz w:val="21"/>
          <w:szCs w:val="21"/>
        </w:rPr>
        <w:t>土壤环境</w:t>
      </w:r>
      <w:r>
        <w:rPr>
          <w:rFonts w:eastAsia="黑体"/>
          <w:b w:val="0"/>
          <w:bCs/>
          <w:color w:val="000000"/>
          <w:sz w:val="21"/>
          <w:szCs w:val="21"/>
        </w:rPr>
        <w:t>背景含量的基本统计量</w:t>
      </w:r>
    </w:p>
    <w:tbl>
      <w:tblPr>
        <w:tblStyle w:val="33"/>
        <w:tblpPr w:leftFromText="180" w:rightFromText="180" w:vertAnchor="text" w:horzAnchor="page" w:tblpX="1390" w:tblpY="305"/>
        <w:tblOverlap w:val="never"/>
        <w:tblW w:w="14503" w:type="dxa"/>
        <w:tblInd w:w="0" w:type="dxa"/>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fixed"/>
        <w:tblCellMar>
          <w:top w:w="0" w:type="dxa"/>
          <w:left w:w="108" w:type="dxa"/>
          <w:bottom w:w="0" w:type="dxa"/>
          <w:right w:w="108" w:type="dxa"/>
        </w:tblCellMar>
      </w:tblPr>
      <w:tblGrid>
        <w:gridCol w:w="670"/>
        <w:gridCol w:w="2651"/>
        <w:gridCol w:w="890"/>
        <w:gridCol w:w="722"/>
        <w:gridCol w:w="722"/>
        <w:gridCol w:w="722"/>
        <w:gridCol w:w="722"/>
        <w:gridCol w:w="722"/>
        <w:gridCol w:w="722"/>
        <w:gridCol w:w="722"/>
        <w:gridCol w:w="896"/>
        <w:gridCol w:w="722"/>
        <w:gridCol w:w="722"/>
        <w:gridCol w:w="723"/>
        <w:gridCol w:w="613"/>
        <w:gridCol w:w="671"/>
        <w:gridCol w:w="891"/>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restart"/>
            <w:tcBorders>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元素</w:t>
            </w:r>
          </w:p>
        </w:tc>
        <w:tc>
          <w:tcPr>
            <w:tcW w:w="2651"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地貌类型</w:t>
            </w:r>
          </w:p>
        </w:tc>
        <w:tc>
          <w:tcPr>
            <w:tcW w:w="6840" w:type="dxa"/>
            <w:gridSpan w:val="9"/>
            <w:tcBorders>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顺序统计量（分位值）</w:t>
            </w:r>
          </w:p>
        </w:tc>
        <w:tc>
          <w:tcPr>
            <w:tcW w:w="722"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722"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S</w:t>
            </w:r>
          </w:p>
        </w:tc>
        <w:tc>
          <w:tcPr>
            <w:tcW w:w="723"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M</w:t>
            </w:r>
          </w:p>
        </w:tc>
        <w:tc>
          <w:tcPr>
            <w:tcW w:w="613"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D</w:t>
            </w:r>
          </w:p>
        </w:tc>
        <w:tc>
          <w:tcPr>
            <w:tcW w:w="671" w:type="dxa"/>
            <w:vMerge w:val="restart"/>
            <w:tcBorders>
              <w:left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数据</w:t>
            </w:r>
          </w:p>
          <w:p>
            <w:pPr>
              <w:widowControl/>
              <w:jc w:val="center"/>
              <w:rPr>
                <w:rFonts w:ascii="宋体" w:hAnsi="宋体"/>
                <w:kern w:val="0"/>
                <w:sz w:val="18"/>
                <w:szCs w:val="18"/>
              </w:rPr>
            </w:pPr>
            <w:r>
              <w:rPr>
                <w:rFonts w:ascii="宋体" w:hAnsi="宋体"/>
                <w:kern w:val="0"/>
                <w:sz w:val="18"/>
                <w:szCs w:val="18"/>
              </w:rPr>
              <w:t>分布</w:t>
            </w:r>
          </w:p>
        </w:tc>
        <w:tc>
          <w:tcPr>
            <w:tcW w:w="891" w:type="dxa"/>
            <w:vMerge w:val="restart"/>
            <w:tcBorders>
              <w:lef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continue"/>
            <w:tcBorders>
              <w:top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26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890"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最小值</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10%</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25%</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50%</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75%</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90%</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95%</w:t>
            </w:r>
          </w:p>
        </w:tc>
        <w:tc>
          <w:tcPr>
            <w:tcW w:w="896"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最大值</w:t>
            </w:r>
          </w:p>
        </w:tc>
        <w:tc>
          <w:tcPr>
            <w:tcW w:w="72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72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1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7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891" w:type="dxa"/>
            <w:vMerge w:val="continue"/>
            <w:tcBorders>
              <w:left w:val="single" w:color="auto" w:sz="4" w:space="0"/>
              <w:bottom w:val="single" w:color="auto" w:sz="4" w:space="0"/>
            </w:tcBorders>
          </w:tcPr>
          <w:p>
            <w:pPr>
              <w:widowControl/>
              <w:jc w:val="center"/>
              <w:rPr>
                <w:rFonts w:ascii="宋体" w:hAnsi="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tcBorders>
              <w:top w:val="single" w:color="auto" w:sz="4" w:space="0"/>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镉</w:t>
            </w:r>
          </w:p>
        </w:tc>
        <w:tc>
          <w:tcPr>
            <w:tcW w:w="2651"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90"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0.13</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0.14</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0.16</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0.21</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896"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0.30</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0.04</w:t>
            </w:r>
          </w:p>
        </w:tc>
        <w:tc>
          <w:tcPr>
            <w:tcW w:w="723"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613"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1.25</w:t>
            </w:r>
          </w:p>
        </w:tc>
        <w:tc>
          <w:tcPr>
            <w:tcW w:w="671"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single" w:color="auto" w:sz="4" w:space="0"/>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0.26</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restart"/>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汞</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冲湖积平原</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0.21</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0.47</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0.09</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1.37</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0.47</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continue"/>
            <w:tcBorders>
              <w:top w:val="nil"/>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长江新三角洲平原及边滩</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0.31</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0.70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0.07</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1.46</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0.31</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砷</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5.35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6.38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7.25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8.13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9.44</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10.70</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15.20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7.49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1.73</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7.31</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10.70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铅</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20.94</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23.60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27.20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38.16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43.50</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68.60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30.63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6.49</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30.00</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1.22</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43.50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铬</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45.00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62.00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68.00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75.15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81.10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86.40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92.98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98.59</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115.0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80.72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10.64</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79.99</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1.15</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98.59</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restart"/>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铜</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冲湖积平原</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28.92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31.65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46.85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55.52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57.41</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59.80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39.89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10.65</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36.09</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2.20</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57.41</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continue"/>
            <w:tcBorders>
              <w:top w:val="nil"/>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长江新三角洲平原及边滩</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13.50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21.88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24.10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31.80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34.68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38.00</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56.90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29.28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5.27</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28.82</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38.00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锌</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23.70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83.58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86.40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92.50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99.20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107.0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131.2</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148.0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101.2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14.48</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100.1</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1.16</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131.2</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tcBorders>
              <w:top w:val="nil"/>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镍</w:t>
            </w:r>
          </w:p>
        </w:tc>
        <w:tc>
          <w:tcPr>
            <w:tcW w:w="2651"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90"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23.00</w:t>
            </w:r>
          </w:p>
        </w:tc>
        <w:tc>
          <w:tcPr>
            <w:tcW w:w="722"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29.07</w:t>
            </w:r>
          </w:p>
        </w:tc>
        <w:tc>
          <w:tcPr>
            <w:tcW w:w="722"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30.90</w:t>
            </w:r>
          </w:p>
        </w:tc>
        <w:tc>
          <w:tcPr>
            <w:tcW w:w="722"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33.30</w:t>
            </w:r>
          </w:p>
        </w:tc>
        <w:tc>
          <w:tcPr>
            <w:tcW w:w="722"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35.90</w:t>
            </w:r>
          </w:p>
        </w:tc>
        <w:tc>
          <w:tcPr>
            <w:tcW w:w="722"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38.80</w:t>
            </w:r>
          </w:p>
        </w:tc>
        <w:tc>
          <w:tcPr>
            <w:tcW w:w="722"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41.67</w:t>
            </w:r>
          </w:p>
        </w:tc>
        <w:tc>
          <w:tcPr>
            <w:tcW w:w="722"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42.97</w:t>
            </w:r>
          </w:p>
        </w:tc>
        <w:tc>
          <w:tcPr>
            <w:tcW w:w="896"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53.80</w:t>
            </w:r>
          </w:p>
        </w:tc>
        <w:tc>
          <w:tcPr>
            <w:tcW w:w="722"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36.03</w:t>
            </w:r>
          </w:p>
        </w:tc>
        <w:tc>
          <w:tcPr>
            <w:tcW w:w="722"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4.21</w:t>
            </w:r>
          </w:p>
        </w:tc>
        <w:tc>
          <w:tcPr>
            <w:tcW w:w="723"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35.78</w:t>
            </w:r>
          </w:p>
        </w:tc>
        <w:tc>
          <w:tcPr>
            <w:tcW w:w="613" w:type="dxa"/>
            <w:tcBorders>
              <w:top w:val="nil"/>
              <w:left w:val="nil"/>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w:t>
            </w:r>
          </w:p>
        </w:tc>
        <w:tc>
          <w:tcPr>
            <w:tcW w:w="671" w:type="dxa"/>
            <w:tcBorders>
              <w:top w:val="nil"/>
              <w:left w:val="nil"/>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42.97</w:t>
            </w:r>
          </w:p>
        </w:tc>
      </w:tr>
    </w:tbl>
    <w:p>
      <w:pPr>
        <w:jc w:val="right"/>
        <w:rPr>
          <w:rFonts w:ascii="宋体" w:hAnsi="宋体"/>
          <w:sz w:val="18"/>
          <w:szCs w:val="18"/>
        </w:rPr>
      </w:pPr>
      <w:r>
        <w:rPr>
          <w:rFonts w:hint="eastAsia" w:ascii="宋体" w:hAnsi="宋体" w:eastAsia="宋体"/>
          <w:color w:val="000000"/>
          <w:sz w:val="18"/>
          <w:szCs w:val="18"/>
        </w:rPr>
        <w:t>单位：mg/kg</w:t>
      </w:r>
    </w:p>
    <w:p>
      <w:pPr>
        <w:pStyle w:val="9"/>
        <w:rPr>
          <w:rFonts w:eastAsia="黑体"/>
          <w:b w:val="0"/>
          <w:bCs/>
        </w:rPr>
      </w:pPr>
      <w:r>
        <w:rPr>
          <w:rFonts w:ascii="黑体" w:hAnsi="黑体" w:eastAsia="黑体"/>
          <w:b w:val="0"/>
          <w:bCs/>
          <w:color w:val="000000"/>
          <w:sz w:val="21"/>
          <w:szCs w:val="21"/>
        </w:rPr>
        <w:t>表</w:t>
      </w:r>
      <w:r>
        <w:rPr>
          <w:rFonts w:hint="eastAsia" w:ascii="黑体" w:hAnsi="黑体" w:eastAsia="黑体"/>
          <w:b w:val="0"/>
          <w:bCs/>
          <w:color w:val="000000"/>
          <w:sz w:val="21"/>
          <w:szCs w:val="21"/>
        </w:rPr>
        <w:t>B.3</w:t>
      </w:r>
      <w:r>
        <w:rPr>
          <w:rFonts w:eastAsia="黑体"/>
          <w:b w:val="0"/>
          <w:bCs/>
          <w:color w:val="000000"/>
          <w:sz w:val="21"/>
          <w:szCs w:val="21"/>
        </w:rPr>
        <w:t xml:space="preserve">  太仓市</w:t>
      </w:r>
      <w:r>
        <w:rPr>
          <w:rFonts w:hint="eastAsia" w:eastAsia="黑体"/>
          <w:b w:val="0"/>
          <w:bCs/>
          <w:color w:val="000000"/>
          <w:sz w:val="21"/>
          <w:szCs w:val="21"/>
        </w:rPr>
        <w:t>土壤环境</w:t>
      </w:r>
      <w:r>
        <w:rPr>
          <w:rFonts w:eastAsia="黑体"/>
          <w:b w:val="0"/>
          <w:bCs/>
          <w:color w:val="000000"/>
          <w:sz w:val="21"/>
          <w:szCs w:val="21"/>
        </w:rPr>
        <w:t>背景含量的基本统计量</w:t>
      </w:r>
      <w:r>
        <w:rPr>
          <w:rFonts w:hint="eastAsia" w:ascii="宋体" w:hAnsi="宋体" w:eastAsia="宋体" w:cs="宋体"/>
          <w:b w:val="0"/>
          <w:bCs/>
          <w:color w:val="000000"/>
          <w:sz w:val="21"/>
          <w:szCs w:val="21"/>
        </w:rPr>
        <w:t>（续）</w:t>
      </w:r>
    </w:p>
    <w:p>
      <w:pPr>
        <w:jc w:val="right"/>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fixed"/>
        <w:tblCellMar>
          <w:top w:w="0" w:type="dxa"/>
          <w:left w:w="108" w:type="dxa"/>
          <w:bottom w:w="0" w:type="dxa"/>
          <w:right w:w="108" w:type="dxa"/>
        </w:tblCellMar>
      </w:tblPr>
      <w:tblGrid>
        <w:gridCol w:w="670"/>
        <w:gridCol w:w="2651"/>
        <w:gridCol w:w="890"/>
        <w:gridCol w:w="722"/>
        <w:gridCol w:w="722"/>
        <w:gridCol w:w="722"/>
        <w:gridCol w:w="722"/>
        <w:gridCol w:w="722"/>
        <w:gridCol w:w="722"/>
        <w:gridCol w:w="722"/>
        <w:gridCol w:w="896"/>
        <w:gridCol w:w="722"/>
        <w:gridCol w:w="722"/>
        <w:gridCol w:w="723"/>
        <w:gridCol w:w="613"/>
        <w:gridCol w:w="671"/>
        <w:gridCol w:w="891"/>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restart"/>
            <w:tcBorders>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元素</w:t>
            </w:r>
          </w:p>
        </w:tc>
        <w:tc>
          <w:tcPr>
            <w:tcW w:w="2651"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地貌类型</w:t>
            </w:r>
          </w:p>
        </w:tc>
        <w:tc>
          <w:tcPr>
            <w:tcW w:w="6840" w:type="dxa"/>
            <w:gridSpan w:val="9"/>
            <w:tcBorders>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顺序统计量（分位值）</w:t>
            </w:r>
          </w:p>
        </w:tc>
        <w:tc>
          <w:tcPr>
            <w:tcW w:w="722"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722"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S</w:t>
            </w:r>
          </w:p>
        </w:tc>
        <w:tc>
          <w:tcPr>
            <w:tcW w:w="723"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M</w:t>
            </w:r>
          </w:p>
        </w:tc>
        <w:tc>
          <w:tcPr>
            <w:tcW w:w="613"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D</w:t>
            </w:r>
          </w:p>
        </w:tc>
        <w:tc>
          <w:tcPr>
            <w:tcW w:w="671" w:type="dxa"/>
            <w:vMerge w:val="restart"/>
            <w:tcBorders>
              <w:left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数据</w:t>
            </w:r>
          </w:p>
          <w:p>
            <w:pPr>
              <w:widowControl/>
              <w:jc w:val="center"/>
              <w:rPr>
                <w:rFonts w:ascii="宋体" w:hAnsi="宋体"/>
                <w:kern w:val="0"/>
                <w:sz w:val="18"/>
                <w:szCs w:val="18"/>
              </w:rPr>
            </w:pPr>
            <w:r>
              <w:rPr>
                <w:rFonts w:ascii="宋体" w:hAnsi="宋体"/>
                <w:kern w:val="0"/>
                <w:sz w:val="18"/>
                <w:szCs w:val="18"/>
              </w:rPr>
              <w:t>分布</w:t>
            </w:r>
          </w:p>
        </w:tc>
        <w:tc>
          <w:tcPr>
            <w:tcW w:w="891" w:type="dxa"/>
            <w:vMerge w:val="restart"/>
            <w:tcBorders>
              <w:lef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continue"/>
            <w:tcBorders>
              <w:top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26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890"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最小值</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10%</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25%</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50%</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75%</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90%</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95%</w:t>
            </w:r>
          </w:p>
        </w:tc>
        <w:tc>
          <w:tcPr>
            <w:tcW w:w="896"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最大值</w:t>
            </w:r>
          </w:p>
        </w:tc>
        <w:tc>
          <w:tcPr>
            <w:tcW w:w="72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72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1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71"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891" w:type="dxa"/>
            <w:vMerge w:val="continue"/>
            <w:tcBorders>
              <w:left w:val="single" w:color="auto" w:sz="4" w:space="0"/>
              <w:bottom w:val="single" w:color="auto" w:sz="4" w:space="0"/>
            </w:tcBorders>
          </w:tcPr>
          <w:p>
            <w:pPr>
              <w:widowControl/>
              <w:jc w:val="center"/>
              <w:rPr>
                <w:rFonts w:ascii="宋体" w:hAnsi="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钴</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15.03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15.60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15.89</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16.80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13.82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1.48</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13.74</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15.89</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钒</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35.86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42.83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87.35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94.65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99.43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105.0</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88.05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20.25</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84.55</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1.38</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105.0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锰</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229.0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423.3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462.9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515.0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577.5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647.0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714.3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790.4</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1227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586.7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114.3</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576.0</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1.21</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790.4</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restart"/>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硒</w:t>
            </w: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冲湖积平原</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0.43</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0.62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0.06</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0.43</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70" w:type="dxa"/>
            <w:vMerge w:val="continue"/>
            <w:tcBorders>
              <w:top w:val="nil"/>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265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长江新三角洲平原及边滩</w:t>
            </w:r>
          </w:p>
        </w:tc>
        <w:tc>
          <w:tcPr>
            <w:tcW w:w="8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0.35</w:t>
            </w:r>
          </w:p>
        </w:tc>
        <w:tc>
          <w:tcPr>
            <w:tcW w:w="8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0.05</w:t>
            </w:r>
          </w:p>
        </w:tc>
        <w:tc>
          <w:tcPr>
            <w:tcW w:w="72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61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671"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891"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0.35</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14503" w:type="dxa"/>
            <w:gridSpan w:val="17"/>
            <w:tcBorders>
              <w:top w:val="single" w:color="auto" w:sz="4" w:space="0"/>
            </w:tcBorders>
            <w:vAlign w:val="center"/>
          </w:tcPr>
          <w:p>
            <w:pPr>
              <w:widowControl/>
              <w:jc w:val="left"/>
              <w:rPr>
                <w:rFonts w:ascii="宋体" w:hAnsi="宋体" w:eastAsia="宋体"/>
                <w:color w:val="000000"/>
                <w:kern w:val="0"/>
                <w:sz w:val="18"/>
                <w:szCs w:val="18"/>
              </w:rPr>
            </w:pPr>
            <w:r>
              <w:rPr>
                <w:rFonts w:hint="eastAsia" w:ascii="黑体" w:hAnsi="黑体" w:eastAsia="黑体"/>
                <w:color w:val="000000"/>
                <w:sz w:val="18"/>
                <w:szCs w:val="18"/>
              </w:rPr>
              <w:t>注：</w:t>
            </w:r>
            <w:r>
              <w:rPr>
                <w:rFonts w:hint="eastAsia" w:ascii="宋体" w:hAnsi="宋体"/>
                <w:color w:val="000000"/>
                <w:sz w:val="18"/>
                <w:szCs w:val="18"/>
              </w:rPr>
              <w:t>区域内所有涉及地貌类型包括冲湖积平原、长江新三角洲平原及边滩。</w:t>
            </w:r>
          </w:p>
        </w:tc>
      </w:tr>
    </w:tbl>
    <w:p>
      <w:pPr>
        <w:pStyle w:val="2"/>
      </w:pPr>
    </w:p>
    <w:p>
      <w:r>
        <w:br w:type="page"/>
      </w:r>
    </w:p>
    <w:p>
      <w:pPr>
        <w:pStyle w:val="9"/>
        <w:rPr>
          <w:b w:val="0"/>
          <w:bCs/>
        </w:rPr>
      </w:pPr>
      <w:r>
        <w:rPr>
          <w:rFonts w:ascii="黑体" w:hAnsi="黑体" w:eastAsia="黑体"/>
          <w:b w:val="0"/>
          <w:bCs/>
          <w:color w:val="000000"/>
          <w:sz w:val="21"/>
          <w:szCs w:val="21"/>
        </w:rPr>
        <w:t>表</w:t>
      </w:r>
      <w:r>
        <w:rPr>
          <w:rFonts w:hint="eastAsia" w:ascii="黑体" w:hAnsi="黑体" w:eastAsia="黑体"/>
          <w:b w:val="0"/>
          <w:bCs/>
          <w:color w:val="000000"/>
          <w:sz w:val="21"/>
          <w:szCs w:val="21"/>
        </w:rPr>
        <w:t>B.4</w:t>
      </w:r>
      <w:r>
        <w:rPr>
          <w:rFonts w:ascii="黑体" w:hAnsi="黑体" w:eastAsia="黑体"/>
          <w:b w:val="0"/>
          <w:bCs/>
          <w:color w:val="000000"/>
          <w:sz w:val="21"/>
          <w:szCs w:val="21"/>
        </w:rPr>
        <w:t xml:space="preserve"> </w:t>
      </w:r>
      <w:r>
        <w:rPr>
          <w:rFonts w:eastAsia="黑体"/>
          <w:b w:val="0"/>
          <w:bCs/>
          <w:color w:val="000000"/>
          <w:sz w:val="21"/>
          <w:szCs w:val="21"/>
        </w:rPr>
        <w:t xml:space="preserve"> 昆山市</w:t>
      </w:r>
      <w:r>
        <w:rPr>
          <w:rFonts w:hint="eastAsia" w:eastAsia="黑体"/>
          <w:b w:val="0"/>
          <w:bCs/>
          <w:color w:val="000000"/>
          <w:sz w:val="21"/>
          <w:szCs w:val="21"/>
        </w:rPr>
        <w:t>土壤环境</w:t>
      </w:r>
      <w:r>
        <w:rPr>
          <w:rFonts w:eastAsia="黑体"/>
          <w:b w:val="0"/>
          <w:bCs/>
          <w:color w:val="000000"/>
          <w:sz w:val="21"/>
          <w:szCs w:val="21"/>
        </w:rPr>
        <w:t>背景含量的基本统计量</w:t>
      </w:r>
    </w:p>
    <w:p>
      <w:pPr>
        <w:jc w:val="right"/>
        <w:rPr>
          <w:rFonts w:ascii="宋体" w:hAnsi="宋体"/>
          <w:sz w:val="18"/>
          <w:szCs w:val="18"/>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fixed"/>
        <w:tblCellMar>
          <w:top w:w="0" w:type="dxa"/>
          <w:left w:w="108" w:type="dxa"/>
          <w:bottom w:w="0" w:type="dxa"/>
          <w:right w:w="108" w:type="dxa"/>
        </w:tblCellMar>
      </w:tblPr>
      <w:tblGrid>
        <w:gridCol w:w="661"/>
        <w:gridCol w:w="2631"/>
        <w:gridCol w:w="911"/>
        <w:gridCol w:w="722"/>
        <w:gridCol w:w="722"/>
        <w:gridCol w:w="722"/>
        <w:gridCol w:w="722"/>
        <w:gridCol w:w="722"/>
        <w:gridCol w:w="722"/>
        <w:gridCol w:w="722"/>
        <w:gridCol w:w="914"/>
        <w:gridCol w:w="722"/>
        <w:gridCol w:w="722"/>
        <w:gridCol w:w="722"/>
        <w:gridCol w:w="601"/>
        <w:gridCol w:w="662"/>
        <w:gridCol w:w="903"/>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blHeader/>
        </w:trPr>
        <w:tc>
          <w:tcPr>
            <w:tcW w:w="661" w:type="dxa"/>
            <w:vMerge w:val="restart"/>
            <w:tcBorders>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元素</w:t>
            </w:r>
          </w:p>
        </w:tc>
        <w:tc>
          <w:tcPr>
            <w:tcW w:w="2631"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地貌类型</w:t>
            </w:r>
          </w:p>
        </w:tc>
        <w:tc>
          <w:tcPr>
            <w:tcW w:w="6879" w:type="dxa"/>
            <w:gridSpan w:val="9"/>
            <w:tcBorders>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顺序统计量（分位值）</w:t>
            </w:r>
          </w:p>
        </w:tc>
        <w:tc>
          <w:tcPr>
            <w:tcW w:w="722"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722"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S</w:t>
            </w:r>
          </w:p>
        </w:tc>
        <w:tc>
          <w:tcPr>
            <w:tcW w:w="722"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M</w:t>
            </w:r>
          </w:p>
        </w:tc>
        <w:tc>
          <w:tcPr>
            <w:tcW w:w="601"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D</w:t>
            </w:r>
          </w:p>
        </w:tc>
        <w:tc>
          <w:tcPr>
            <w:tcW w:w="662" w:type="dxa"/>
            <w:vMerge w:val="restart"/>
            <w:tcBorders>
              <w:left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数据</w:t>
            </w:r>
          </w:p>
          <w:p>
            <w:pPr>
              <w:widowControl/>
              <w:jc w:val="center"/>
              <w:rPr>
                <w:rFonts w:ascii="宋体" w:hAnsi="宋体"/>
                <w:kern w:val="0"/>
                <w:sz w:val="18"/>
                <w:szCs w:val="18"/>
              </w:rPr>
            </w:pPr>
            <w:r>
              <w:rPr>
                <w:rFonts w:ascii="宋体" w:hAnsi="宋体"/>
                <w:kern w:val="0"/>
                <w:sz w:val="18"/>
                <w:szCs w:val="18"/>
              </w:rPr>
              <w:t>分布</w:t>
            </w:r>
          </w:p>
        </w:tc>
        <w:tc>
          <w:tcPr>
            <w:tcW w:w="903" w:type="dxa"/>
            <w:vMerge w:val="restart"/>
            <w:tcBorders>
              <w:lef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blHeader/>
        </w:trPr>
        <w:tc>
          <w:tcPr>
            <w:tcW w:w="661" w:type="dxa"/>
            <w:vMerge w:val="continue"/>
            <w:tcBorders>
              <w:top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263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911"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最小值</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10%</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25%</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50%</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75%</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90%</w:t>
            </w:r>
          </w:p>
        </w:tc>
        <w:tc>
          <w:tcPr>
            <w:tcW w:w="722"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95%</w:t>
            </w:r>
          </w:p>
        </w:tc>
        <w:tc>
          <w:tcPr>
            <w:tcW w:w="914" w:type="dxa"/>
            <w:tcBorders>
              <w:top w:val="nil"/>
              <w:left w:val="nil"/>
              <w:bottom w:val="nil"/>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最大值</w:t>
            </w:r>
          </w:p>
        </w:tc>
        <w:tc>
          <w:tcPr>
            <w:tcW w:w="72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72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72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0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62"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903" w:type="dxa"/>
            <w:vMerge w:val="continue"/>
            <w:tcBorders>
              <w:left w:val="single" w:color="auto" w:sz="4" w:space="0"/>
              <w:bottom w:val="single" w:color="auto" w:sz="4" w:space="0"/>
            </w:tcBorders>
          </w:tcPr>
          <w:p>
            <w:pPr>
              <w:widowControl/>
              <w:jc w:val="center"/>
              <w:rPr>
                <w:rFonts w:ascii="宋体" w:hAnsi="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single" w:color="auto" w:sz="4" w:space="0"/>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镉</w:t>
            </w:r>
          </w:p>
        </w:tc>
        <w:tc>
          <w:tcPr>
            <w:tcW w:w="2631"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0.00</w:t>
            </w:r>
            <w:r>
              <w:rPr>
                <w:rFonts w:hint="eastAsia" w:ascii="宋体" w:hAnsi="宋体" w:eastAsia="宋体"/>
                <w:color w:val="000000"/>
                <w:kern w:val="0"/>
                <w:sz w:val="18"/>
                <w:szCs w:val="18"/>
              </w:rPr>
              <w:t>4</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0.13</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0.16</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914"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0.05</w:t>
            </w:r>
          </w:p>
        </w:tc>
        <w:tc>
          <w:tcPr>
            <w:tcW w:w="72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601"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1.33</w:t>
            </w:r>
          </w:p>
        </w:tc>
        <w:tc>
          <w:tcPr>
            <w:tcW w:w="662"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single" w:color="auto" w:sz="4" w:space="0"/>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0.27</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汞</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0.42</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2.02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1.65</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0.42</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砷</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6.29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7.12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8.31</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9.89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12.40</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15.20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8.39</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1.26</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12.40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铅</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7.79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25.40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29.50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32.40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44.50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52.54</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69.50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34.37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8.09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33.55</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52.54</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铬</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46.36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66.91</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73.86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79.53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84.30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88.99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94.10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98.41</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83.92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9.14</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83.39</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98.41</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铜</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12.96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26.32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27.54</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29.80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32.40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36.43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41.60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46.00</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59.40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33.73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6.13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33.22</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46.00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锌</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37.76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71.37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78.49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85.20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93.40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116.1</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127.6</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95.15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16.75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93.67</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127.6</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镍</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19.75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30.45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34.60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37.10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39.38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41.43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42.75</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48.90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36.87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3.96</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36.64</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42.75</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钴</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10.70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14.40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15.10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15.80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16.49</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17.20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14.43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14.38</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1.08</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16.49</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钒</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38.10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48.32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87.01</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96.13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101.0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105.0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110.0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112.0</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117.0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96.89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16.51</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94.86</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1.26</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112.0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锰</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212.0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400.9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442.0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489.0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541.0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604.5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668.2</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720.8</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549.5</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540.9</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720.8</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61"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硒</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91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0.21</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0.30</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0.33</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0.41</w:t>
            </w:r>
          </w:p>
        </w:tc>
        <w:tc>
          <w:tcPr>
            <w:tcW w:w="91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1.09</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0.31</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722"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0.30</w:t>
            </w:r>
          </w:p>
        </w:tc>
        <w:tc>
          <w:tcPr>
            <w:tcW w:w="60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1.26</w:t>
            </w:r>
          </w:p>
        </w:tc>
        <w:tc>
          <w:tcPr>
            <w:tcW w:w="662"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03"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0.41</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14503" w:type="dxa"/>
            <w:gridSpan w:val="17"/>
            <w:tcBorders>
              <w:top w:val="single" w:color="auto" w:sz="4" w:space="0"/>
            </w:tcBorders>
            <w:noWrap/>
            <w:vAlign w:val="center"/>
          </w:tcPr>
          <w:p>
            <w:pPr>
              <w:widowControl/>
              <w:jc w:val="left"/>
              <w:rPr>
                <w:rFonts w:ascii="宋体" w:hAnsi="宋体" w:eastAsia="宋体"/>
                <w:color w:val="000000"/>
                <w:kern w:val="0"/>
                <w:sz w:val="18"/>
                <w:szCs w:val="18"/>
              </w:rPr>
            </w:pPr>
            <w:r>
              <w:rPr>
                <w:rFonts w:hint="eastAsia" w:ascii="黑体" w:hAnsi="黑体" w:eastAsia="黑体"/>
                <w:color w:val="000000"/>
                <w:sz w:val="18"/>
                <w:szCs w:val="18"/>
              </w:rPr>
              <w:t>注：</w:t>
            </w:r>
            <w:r>
              <w:rPr>
                <w:rFonts w:hint="eastAsia" w:ascii="宋体" w:hAnsi="宋体"/>
                <w:color w:val="000000"/>
                <w:sz w:val="18"/>
                <w:szCs w:val="18"/>
              </w:rPr>
              <w:t>区域内所有涉及地貌类型包括丘陵、冲湖积平原。</w:t>
            </w:r>
          </w:p>
        </w:tc>
      </w:tr>
    </w:tbl>
    <w:p/>
    <w:p>
      <w:r>
        <w:br w:type="page"/>
      </w:r>
    </w:p>
    <w:p>
      <w:pPr>
        <w:pStyle w:val="9"/>
        <w:rPr>
          <w:b w:val="0"/>
          <w:bCs/>
        </w:rPr>
      </w:pPr>
      <w:r>
        <w:rPr>
          <w:rFonts w:ascii="黑体" w:hAnsi="黑体" w:eastAsia="黑体"/>
          <w:b w:val="0"/>
          <w:bCs/>
          <w:color w:val="000000"/>
          <w:sz w:val="21"/>
          <w:szCs w:val="21"/>
        </w:rPr>
        <w:t>表</w:t>
      </w:r>
      <w:r>
        <w:rPr>
          <w:rFonts w:hint="eastAsia" w:ascii="黑体" w:hAnsi="黑体" w:eastAsia="黑体"/>
          <w:b w:val="0"/>
          <w:bCs/>
          <w:color w:val="000000"/>
          <w:sz w:val="21"/>
          <w:szCs w:val="21"/>
        </w:rPr>
        <w:t>B.5</w:t>
      </w:r>
      <w:r>
        <w:rPr>
          <w:rFonts w:eastAsia="黑体"/>
          <w:b w:val="0"/>
          <w:bCs/>
          <w:color w:val="000000"/>
          <w:sz w:val="21"/>
          <w:szCs w:val="21"/>
        </w:rPr>
        <w:t xml:space="preserve">  吴江区</w:t>
      </w:r>
      <w:r>
        <w:rPr>
          <w:rFonts w:hint="eastAsia" w:eastAsia="黑体"/>
          <w:b w:val="0"/>
          <w:bCs/>
          <w:color w:val="000000"/>
          <w:sz w:val="21"/>
          <w:szCs w:val="21"/>
        </w:rPr>
        <w:t>土壤环境</w:t>
      </w:r>
      <w:r>
        <w:rPr>
          <w:rFonts w:eastAsia="黑体"/>
          <w:b w:val="0"/>
          <w:bCs/>
          <w:color w:val="000000"/>
          <w:sz w:val="21"/>
          <w:szCs w:val="21"/>
        </w:rPr>
        <w:t>背景含量的基本统计量</w:t>
      </w:r>
    </w:p>
    <w:p>
      <w:pPr>
        <w:jc w:val="right"/>
        <w:rPr>
          <w:rFonts w:ascii="宋体" w:hAnsi="宋体"/>
          <w:sz w:val="18"/>
          <w:szCs w:val="18"/>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fixed"/>
        <w:tblCellMar>
          <w:top w:w="0" w:type="dxa"/>
          <w:left w:w="108" w:type="dxa"/>
          <w:bottom w:w="0" w:type="dxa"/>
          <w:right w:w="108" w:type="dxa"/>
        </w:tblCellMar>
      </w:tblPr>
      <w:tblGrid>
        <w:gridCol w:w="638"/>
        <w:gridCol w:w="2631"/>
        <w:gridCol w:w="850"/>
        <w:gridCol w:w="690"/>
        <w:gridCol w:w="690"/>
        <w:gridCol w:w="690"/>
        <w:gridCol w:w="690"/>
        <w:gridCol w:w="690"/>
        <w:gridCol w:w="690"/>
        <w:gridCol w:w="690"/>
        <w:gridCol w:w="850"/>
        <w:gridCol w:w="690"/>
        <w:gridCol w:w="690"/>
        <w:gridCol w:w="690"/>
        <w:gridCol w:w="584"/>
        <w:gridCol w:w="694"/>
        <w:gridCol w:w="1356"/>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vMerge w:val="restart"/>
            <w:tcBorders>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元素</w:t>
            </w:r>
          </w:p>
        </w:tc>
        <w:tc>
          <w:tcPr>
            <w:tcW w:w="2631" w:type="dxa"/>
            <w:vMerge w:val="restart"/>
            <w:tcBorders>
              <w:left w:val="single" w:color="auto" w:sz="4" w:space="0"/>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地貌类型</w:t>
            </w:r>
          </w:p>
        </w:tc>
        <w:tc>
          <w:tcPr>
            <w:tcW w:w="6530" w:type="dxa"/>
            <w:gridSpan w:val="9"/>
            <w:tcBorders>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顺序统计量（分位值）</w:t>
            </w:r>
          </w:p>
        </w:tc>
        <w:tc>
          <w:tcPr>
            <w:tcW w:w="690" w:type="dxa"/>
            <w:vMerge w:val="restart"/>
            <w:tcBorders>
              <w:left w:val="single" w:color="auto" w:sz="4" w:space="0"/>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690" w:type="dxa"/>
            <w:vMerge w:val="restart"/>
            <w:tcBorders>
              <w:left w:val="single" w:color="auto" w:sz="4" w:space="0"/>
              <w:bottom w:val="single" w:color="auto" w:sz="4" w:space="0"/>
              <w:right w:val="single" w:color="auto" w:sz="4" w:space="0"/>
            </w:tcBorders>
            <w:noWrap/>
            <w:vAlign w:val="center"/>
          </w:tcPr>
          <w:p>
            <w:pPr>
              <w:widowControl/>
              <w:snapToGrid w:val="0"/>
              <w:jc w:val="center"/>
              <w:rPr>
                <w:rFonts w:ascii="宋体" w:hAnsi="宋体" w:eastAsia="宋体"/>
                <w:i/>
                <w:iCs/>
                <w:kern w:val="0"/>
                <w:sz w:val="18"/>
                <w:szCs w:val="18"/>
              </w:rPr>
            </w:pPr>
            <w:r>
              <w:rPr>
                <w:rFonts w:hint="eastAsia" w:ascii="宋体" w:hAnsi="宋体" w:cs="宋体"/>
                <w:i/>
                <w:iCs/>
                <w:color w:val="000000"/>
                <w:kern w:val="0"/>
                <w:sz w:val="18"/>
                <w:szCs w:val="18"/>
              </w:rPr>
              <w:t>S</w:t>
            </w:r>
          </w:p>
        </w:tc>
        <w:tc>
          <w:tcPr>
            <w:tcW w:w="690" w:type="dxa"/>
            <w:vMerge w:val="restart"/>
            <w:tcBorders>
              <w:left w:val="single" w:color="auto" w:sz="4" w:space="0"/>
              <w:bottom w:val="single" w:color="auto" w:sz="4" w:space="0"/>
              <w:right w:val="single" w:color="auto" w:sz="4" w:space="0"/>
            </w:tcBorders>
            <w:noWrap/>
            <w:vAlign w:val="center"/>
          </w:tcPr>
          <w:p>
            <w:pPr>
              <w:widowControl/>
              <w:snapToGrid w:val="0"/>
              <w:jc w:val="center"/>
              <w:rPr>
                <w:rFonts w:ascii="宋体" w:hAnsi="宋体" w:eastAsia="宋体"/>
                <w:i/>
                <w:iCs/>
                <w:kern w:val="0"/>
                <w:sz w:val="18"/>
                <w:szCs w:val="18"/>
              </w:rPr>
            </w:pPr>
            <w:r>
              <w:rPr>
                <w:rFonts w:hint="eastAsia" w:ascii="宋体" w:hAnsi="宋体" w:cs="宋体"/>
                <w:i/>
                <w:iCs/>
                <w:color w:val="000000"/>
                <w:kern w:val="0"/>
                <w:sz w:val="18"/>
                <w:szCs w:val="18"/>
              </w:rPr>
              <w:t>M</w:t>
            </w:r>
          </w:p>
        </w:tc>
        <w:tc>
          <w:tcPr>
            <w:tcW w:w="584" w:type="dxa"/>
            <w:vMerge w:val="restart"/>
            <w:tcBorders>
              <w:left w:val="single" w:color="auto" w:sz="4" w:space="0"/>
              <w:bottom w:val="single" w:color="auto" w:sz="4" w:space="0"/>
              <w:right w:val="single" w:color="auto" w:sz="4" w:space="0"/>
            </w:tcBorders>
            <w:noWrap/>
            <w:vAlign w:val="center"/>
          </w:tcPr>
          <w:p>
            <w:pPr>
              <w:widowControl/>
              <w:snapToGrid w:val="0"/>
              <w:jc w:val="center"/>
              <w:rPr>
                <w:rFonts w:ascii="宋体" w:hAnsi="宋体" w:eastAsia="宋体"/>
                <w:i/>
                <w:iCs/>
                <w:kern w:val="0"/>
                <w:sz w:val="18"/>
                <w:szCs w:val="18"/>
              </w:rPr>
            </w:pPr>
            <w:r>
              <w:rPr>
                <w:rFonts w:hint="eastAsia" w:ascii="宋体" w:hAnsi="宋体" w:cs="宋体"/>
                <w:i/>
                <w:iCs/>
                <w:color w:val="000000"/>
                <w:kern w:val="0"/>
                <w:sz w:val="18"/>
                <w:szCs w:val="18"/>
              </w:rPr>
              <w:t>D</w:t>
            </w:r>
          </w:p>
        </w:tc>
        <w:tc>
          <w:tcPr>
            <w:tcW w:w="694" w:type="dxa"/>
            <w:vMerge w:val="restart"/>
            <w:tcBorders>
              <w:left w:val="single" w:color="auto" w:sz="4" w:space="0"/>
              <w:right w:val="single" w:color="auto" w:sz="4" w:space="0"/>
            </w:tcBorders>
            <w:vAlign w:val="center"/>
          </w:tcPr>
          <w:p>
            <w:pPr>
              <w:widowControl/>
              <w:snapToGrid w:val="0"/>
              <w:jc w:val="center"/>
              <w:rPr>
                <w:rFonts w:ascii="宋体" w:hAnsi="宋体"/>
                <w:kern w:val="0"/>
                <w:sz w:val="18"/>
                <w:szCs w:val="18"/>
              </w:rPr>
            </w:pPr>
            <w:r>
              <w:rPr>
                <w:rFonts w:ascii="宋体" w:hAnsi="宋体"/>
                <w:kern w:val="0"/>
                <w:sz w:val="18"/>
                <w:szCs w:val="18"/>
              </w:rPr>
              <w:t>数据分布</w:t>
            </w:r>
          </w:p>
        </w:tc>
        <w:tc>
          <w:tcPr>
            <w:tcW w:w="1356" w:type="dxa"/>
            <w:vMerge w:val="restart"/>
            <w:tcBorders>
              <w:left w:val="single" w:color="auto" w:sz="4" w:space="0"/>
            </w:tcBorders>
            <w:vAlign w:val="center"/>
          </w:tcPr>
          <w:p>
            <w:pPr>
              <w:widowControl/>
              <w:snapToGrid w:val="0"/>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snapToGrid w:val="0"/>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vMerge w:val="continue"/>
            <w:tcBorders>
              <w:top w:val="single" w:color="auto" w:sz="4" w:space="0"/>
              <w:bottom w:val="single" w:color="auto" w:sz="4" w:space="0"/>
              <w:right w:val="single" w:color="auto" w:sz="4" w:space="0"/>
            </w:tcBorders>
            <w:vAlign w:val="center"/>
          </w:tcPr>
          <w:p>
            <w:pPr>
              <w:widowControl/>
              <w:snapToGrid w:val="0"/>
              <w:jc w:val="center"/>
              <w:rPr>
                <w:rFonts w:ascii="宋体" w:hAnsi="宋体" w:eastAsia="宋体"/>
                <w:color w:val="000000"/>
                <w:kern w:val="0"/>
                <w:sz w:val="18"/>
                <w:szCs w:val="18"/>
              </w:rPr>
            </w:pPr>
          </w:p>
        </w:tc>
        <w:tc>
          <w:tcPr>
            <w:tcW w:w="2631"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color w:val="000000"/>
                <w:kern w:val="0"/>
                <w:sz w:val="18"/>
                <w:szCs w:val="18"/>
              </w:rPr>
            </w:pP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w:r>
              <w:rPr>
                <w:rFonts w:hint="eastAsia" w:ascii="宋体" w:hAnsi="宋体"/>
                <w:kern w:val="0"/>
                <w:sz w:val="18"/>
                <w:szCs w:val="18"/>
              </w:rPr>
              <w:t>最小值</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w:r>
              <w:rPr>
                <w:rFonts w:ascii="宋体" w:hAnsi="宋体" w:eastAsia="宋体"/>
                <w:kern w:val="0"/>
                <w:sz w:val="18"/>
                <w:szCs w:val="18"/>
              </w:rPr>
              <w:t>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w:r>
              <w:rPr>
                <w:rFonts w:ascii="宋体" w:hAnsi="宋体" w:eastAsia="宋体"/>
                <w:kern w:val="0"/>
                <w:sz w:val="18"/>
                <w:szCs w:val="18"/>
              </w:rPr>
              <w:t>10%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w:r>
              <w:rPr>
                <w:rFonts w:ascii="宋体" w:hAnsi="宋体" w:eastAsia="宋体"/>
                <w:kern w:val="0"/>
                <w:sz w:val="18"/>
                <w:szCs w:val="18"/>
              </w:rPr>
              <w:t>25%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w:r>
              <w:rPr>
                <w:rFonts w:ascii="宋体" w:hAnsi="宋体" w:eastAsia="宋体"/>
                <w:kern w:val="0"/>
                <w:sz w:val="18"/>
                <w:szCs w:val="18"/>
              </w:rPr>
              <w:t>50%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w:r>
              <w:rPr>
                <w:rFonts w:ascii="宋体" w:hAnsi="宋体" w:eastAsia="宋体"/>
                <w:kern w:val="0"/>
                <w:sz w:val="18"/>
                <w:szCs w:val="18"/>
              </w:rPr>
              <w:t>75%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w:r>
              <w:rPr>
                <w:rFonts w:ascii="宋体" w:hAnsi="宋体" w:eastAsia="宋体"/>
                <w:kern w:val="0"/>
                <w:sz w:val="18"/>
                <w:szCs w:val="18"/>
              </w:rPr>
              <w:t>90%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w:r>
              <w:rPr>
                <w:rFonts w:ascii="宋体" w:hAnsi="宋体" w:eastAsia="宋体"/>
                <w:kern w:val="0"/>
                <w:sz w:val="18"/>
                <w:szCs w:val="18"/>
              </w:rPr>
              <w:t>95%</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kern w:val="0"/>
                <w:sz w:val="18"/>
                <w:szCs w:val="18"/>
              </w:rPr>
            </w:pPr>
            <w:r>
              <w:rPr>
                <w:rFonts w:hint="eastAsia" w:ascii="宋体" w:hAnsi="宋体"/>
                <w:kern w:val="0"/>
                <w:sz w:val="18"/>
                <w:szCs w:val="18"/>
              </w:rPr>
              <w:t>最大值</w:t>
            </w: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kern w:val="0"/>
                <w:sz w:val="18"/>
                <w:szCs w:val="18"/>
              </w:rPr>
            </w:pP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kern w:val="0"/>
                <w:sz w:val="18"/>
                <w:szCs w:val="18"/>
              </w:rPr>
            </w:pP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kern w:val="0"/>
                <w:sz w:val="18"/>
                <w:szCs w:val="18"/>
              </w:rPr>
            </w:pPr>
          </w:p>
        </w:tc>
        <w:tc>
          <w:tcPr>
            <w:tcW w:w="584"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kern w:val="0"/>
                <w:sz w:val="18"/>
                <w:szCs w:val="18"/>
              </w:rPr>
            </w:pPr>
          </w:p>
        </w:tc>
        <w:tc>
          <w:tcPr>
            <w:tcW w:w="694" w:type="dxa"/>
            <w:vMerge w:val="continue"/>
            <w:tcBorders>
              <w:left w:val="single" w:color="auto" w:sz="4" w:space="0"/>
              <w:bottom w:val="single" w:color="auto" w:sz="4" w:space="0"/>
              <w:right w:val="single" w:color="auto" w:sz="4" w:space="0"/>
            </w:tcBorders>
            <w:vAlign w:val="center"/>
          </w:tcPr>
          <w:p>
            <w:pPr>
              <w:widowControl/>
              <w:snapToGrid w:val="0"/>
              <w:jc w:val="center"/>
              <w:rPr>
                <w:rFonts w:ascii="宋体" w:hAnsi="宋体"/>
                <w:kern w:val="0"/>
                <w:sz w:val="18"/>
                <w:szCs w:val="18"/>
              </w:rPr>
            </w:pPr>
          </w:p>
        </w:tc>
        <w:tc>
          <w:tcPr>
            <w:tcW w:w="1356" w:type="dxa"/>
            <w:vMerge w:val="continue"/>
            <w:tcBorders>
              <w:left w:val="single" w:color="auto" w:sz="4" w:space="0"/>
              <w:bottom w:val="single" w:color="auto" w:sz="4" w:space="0"/>
            </w:tcBorders>
          </w:tcPr>
          <w:p>
            <w:pPr>
              <w:widowControl/>
              <w:snapToGrid w:val="0"/>
              <w:jc w:val="center"/>
              <w:rPr>
                <w:rFonts w:ascii="宋体" w:hAnsi="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镉</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0.06</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0.13</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0.16</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0.04</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1.27</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0.23</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汞</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0.02</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0.37</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0.42</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2.02</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1.65</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0.42</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砷</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2.73</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5.87</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6.29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7.12</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8.31</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9.89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11.30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12.40</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15.20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8.62</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1.99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8.39</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1.26</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12.40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铅</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14.60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23.89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26.08</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29.45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31.90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34.20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36.90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39.30</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64.30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31.85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4.98</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31.46</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1.17</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39.30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铬</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30.00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53.20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60.00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69.30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77.30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82.90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87.70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90.70</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117.0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75.33</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11.45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74.33</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90.70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铜</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9.00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20.62</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23.33</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26.00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28.60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31.30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34.67</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37.60</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59.60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28.85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5.31</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28.37</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37.60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锌</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28.00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57.46</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63.80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74.10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81.50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87.70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96.30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104.4</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141.0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81.20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14.08</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79.94</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104.4</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镍</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11.30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20.90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23.00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28.65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33.10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36.60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39.64</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42.00</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49.60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32.37</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6.39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31.67</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42.00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钴</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4.99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8.76</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9.92</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13.90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15.10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16.20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16.80</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19.50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13.42</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2.46</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13.17</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1.23</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16.80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钒</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21.70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41.86</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57.10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88.00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99.40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105.0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112.7</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118.0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92.47</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19.95</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89.40</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1.33</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112.7</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锰</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168.0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356.4</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389.4</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450.0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507.0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587.0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658.3</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713.0</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1069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522.1</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113.4</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510.1</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713.0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硒</w:t>
            </w:r>
          </w:p>
        </w:tc>
        <w:tc>
          <w:tcPr>
            <w:tcW w:w="2631"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0.03</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0.21</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0.30</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0.33</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0.38</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0.41</w:t>
            </w:r>
          </w:p>
        </w:tc>
        <w:tc>
          <w:tcPr>
            <w:tcW w:w="85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1.09</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0.31</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690"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0.30</w:t>
            </w:r>
          </w:p>
        </w:tc>
        <w:tc>
          <w:tcPr>
            <w:tcW w:w="584" w:type="dxa"/>
            <w:tcBorders>
              <w:top w:val="nil"/>
              <w:left w:val="nil"/>
              <w:bottom w:val="single" w:color="auto" w:sz="4" w:space="0"/>
              <w:right w:val="single" w:color="auto" w:sz="4" w:space="0"/>
            </w:tcBorders>
            <w:noWrap/>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1.26</w:t>
            </w:r>
          </w:p>
        </w:tc>
        <w:tc>
          <w:tcPr>
            <w:tcW w:w="694" w:type="dxa"/>
            <w:tcBorders>
              <w:top w:val="nil"/>
              <w:left w:val="nil"/>
              <w:bottom w:val="single" w:color="auto" w:sz="4" w:space="0"/>
              <w:right w:val="single" w:color="auto" w:sz="4" w:space="0"/>
            </w:tcBorders>
            <w:vAlign w:val="center"/>
          </w:tcPr>
          <w:p>
            <w:pPr>
              <w:widowControl/>
              <w:snapToGrid w:val="0"/>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snapToGrid w:val="0"/>
              <w:jc w:val="center"/>
              <w:rPr>
                <w:rFonts w:ascii="宋体" w:hAnsi="宋体"/>
                <w:color w:val="000000"/>
                <w:kern w:val="0"/>
                <w:sz w:val="18"/>
                <w:szCs w:val="18"/>
              </w:rPr>
            </w:pPr>
            <w:r>
              <w:rPr>
                <w:rFonts w:ascii="宋体" w:hAnsi="宋体" w:eastAsia="宋体"/>
                <w:color w:val="000000"/>
                <w:kern w:val="0"/>
                <w:sz w:val="18"/>
                <w:szCs w:val="18"/>
              </w:rPr>
              <w:t>0.41</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14503" w:type="dxa"/>
            <w:gridSpan w:val="17"/>
            <w:tcBorders>
              <w:top w:val="single" w:color="auto" w:sz="4" w:space="0"/>
            </w:tcBorders>
            <w:noWrap/>
            <w:vAlign w:val="center"/>
          </w:tcPr>
          <w:p>
            <w:pPr>
              <w:widowControl/>
              <w:snapToGrid w:val="0"/>
              <w:jc w:val="left"/>
              <w:rPr>
                <w:rFonts w:ascii="宋体" w:hAnsi="宋体" w:eastAsia="宋体"/>
                <w:color w:val="000000"/>
                <w:kern w:val="0"/>
                <w:sz w:val="18"/>
                <w:szCs w:val="18"/>
              </w:rPr>
            </w:pPr>
            <w:r>
              <w:rPr>
                <w:rFonts w:hint="eastAsia" w:ascii="黑体" w:hAnsi="黑体" w:eastAsia="黑体"/>
                <w:color w:val="000000"/>
                <w:kern w:val="0"/>
                <w:sz w:val="18"/>
                <w:szCs w:val="18"/>
              </w:rPr>
              <w:t>注：</w:t>
            </w:r>
            <w:r>
              <w:rPr>
                <w:rFonts w:hint="eastAsia" w:ascii="宋体" w:hAnsi="宋体" w:eastAsia="宋体"/>
                <w:color w:val="000000"/>
                <w:kern w:val="0"/>
                <w:sz w:val="18"/>
                <w:szCs w:val="18"/>
              </w:rPr>
              <w:t>区域内所有涉及地貌类型包括冲湖积平原、高亢平原及黄土岗地。</w:t>
            </w:r>
          </w:p>
        </w:tc>
      </w:tr>
    </w:tbl>
    <w:p>
      <w:pPr>
        <w:pStyle w:val="9"/>
        <w:spacing w:line="360" w:lineRule="auto"/>
        <w:rPr>
          <w:rFonts w:ascii="黑体" w:hAnsi="黑体" w:eastAsia="黑体"/>
          <w:color w:val="000000"/>
          <w:sz w:val="21"/>
          <w:szCs w:val="21"/>
        </w:rPr>
      </w:pPr>
    </w:p>
    <w:p>
      <w:pPr>
        <w:pStyle w:val="9"/>
        <w:rPr>
          <w:b w:val="0"/>
          <w:bCs/>
        </w:rPr>
      </w:pPr>
      <w:r>
        <w:rPr>
          <w:rFonts w:ascii="黑体" w:hAnsi="黑体" w:eastAsia="黑体"/>
          <w:color w:val="000000"/>
          <w:sz w:val="21"/>
          <w:szCs w:val="21"/>
        </w:rPr>
        <w:br w:type="page"/>
      </w:r>
      <w:r>
        <w:rPr>
          <w:rFonts w:ascii="黑体" w:hAnsi="黑体" w:eastAsia="黑体"/>
          <w:b w:val="0"/>
          <w:bCs/>
          <w:color w:val="000000"/>
          <w:sz w:val="21"/>
          <w:szCs w:val="21"/>
        </w:rPr>
        <w:t>表</w:t>
      </w:r>
      <w:r>
        <w:rPr>
          <w:rFonts w:hint="eastAsia" w:ascii="黑体" w:hAnsi="黑体" w:eastAsia="黑体"/>
          <w:b w:val="0"/>
          <w:bCs/>
          <w:color w:val="000000"/>
          <w:sz w:val="21"/>
          <w:szCs w:val="21"/>
        </w:rPr>
        <w:t>B.6</w:t>
      </w:r>
      <w:r>
        <w:rPr>
          <w:rFonts w:ascii="黑体" w:hAnsi="黑体" w:eastAsia="黑体"/>
          <w:b w:val="0"/>
          <w:bCs/>
          <w:color w:val="000000"/>
          <w:sz w:val="21"/>
          <w:szCs w:val="21"/>
        </w:rPr>
        <w:t xml:space="preserve"> </w:t>
      </w:r>
      <w:r>
        <w:rPr>
          <w:rFonts w:eastAsia="黑体"/>
          <w:b w:val="0"/>
          <w:bCs/>
          <w:color w:val="000000"/>
          <w:sz w:val="21"/>
          <w:szCs w:val="21"/>
        </w:rPr>
        <w:t xml:space="preserve"> 吴中区</w:t>
      </w:r>
      <w:r>
        <w:rPr>
          <w:rFonts w:hint="eastAsia" w:eastAsia="黑体"/>
          <w:b w:val="0"/>
          <w:bCs/>
          <w:color w:val="000000"/>
          <w:sz w:val="21"/>
          <w:szCs w:val="21"/>
        </w:rPr>
        <w:t>土壤环境</w:t>
      </w:r>
      <w:r>
        <w:rPr>
          <w:rFonts w:eastAsia="黑体"/>
          <w:b w:val="0"/>
          <w:bCs/>
          <w:color w:val="000000"/>
          <w:sz w:val="21"/>
          <w:szCs w:val="21"/>
        </w:rPr>
        <w:t>背景含量的基本统计量</w:t>
      </w:r>
    </w:p>
    <w:p>
      <w:pPr>
        <w:jc w:val="right"/>
        <w:rPr>
          <w:rFonts w:ascii="宋体" w:hAnsi="宋体"/>
          <w:sz w:val="18"/>
          <w:szCs w:val="18"/>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638"/>
        <w:gridCol w:w="2831"/>
        <w:gridCol w:w="850"/>
        <w:gridCol w:w="690"/>
        <w:gridCol w:w="690"/>
        <w:gridCol w:w="690"/>
        <w:gridCol w:w="690"/>
        <w:gridCol w:w="690"/>
        <w:gridCol w:w="690"/>
        <w:gridCol w:w="690"/>
        <w:gridCol w:w="850"/>
        <w:gridCol w:w="690"/>
        <w:gridCol w:w="690"/>
        <w:gridCol w:w="690"/>
        <w:gridCol w:w="584"/>
        <w:gridCol w:w="796"/>
        <w:gridCol w:w="1054"/>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vMerge w:val="restart"/>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元素</w:t>
            </w:r>
          </w:p>
        </w:tc>
        <w:tc>
          <w:tcPr>
            <w:tcW w:w="2831" w:type="dxa"/>
            <w:vMerge w:val="restart"/>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地貌类型</w:t>
            </w:r>
          </w:p>
        </w:tc>
        <w:tc>
          <w:tcPr>
            <w:tcW w:w="6530" w:type="dxa"/>
            <w:gridSpan w:val="9"/>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顺序统计量（分位值）</w:t>
            </w:r>
          </w:p>
        </w:tc>
        <w:tc>
          <w:tcPr>
            <w:tcW w:w="690" w:type="dxa"/>
            <w:vMerge w:val="restart"/>
            <w:noWrap/>
            <w:vAlign w:val="center"/>
          </w:tcPr>
          <w:p>
            <w:pPr>
              <w:widowControl/>
              <w:jc w:val="center"/>
              <w:rPr>
                <w:rFonts w:ascii="宋体" w:hAnsi="宋体" w:eastAsia="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690" w:type="dxa"/>
            <w:vMerge w:val="restart"/>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S</w:t>
            </w:r>
          </w:p>
        </w:tc>
        <w:tc>
          <w:tcPr>
            <w:tcW w:w="690" w:type="dxa"/>
            <w:vMerge w:val="restart"/>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M</w:t>
            </w:r>
          </w:p>
        </w:tc>
        <w:tc>
          <w:tcPr>
            <w:tcW w:w="584" w:type="dxa"/>
            <w:vMerge w:val="restart"/>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D</w:t>
            </w:r>
          </w:p>
        </w:tc>
        <w:tc>
          <w:tcPr>
            <w:tcW w:w="796" w:type="dxa"/>
            <w:vMerge w:val="restart"/>
            <w:vAlign w:val="center"/>
          </w:tcPr>
          <w:p>
            <w:pPr>
              <w:widowControl/>
              <w:jc w:val="center"/>
              <w:rPr>
                <w:rFonts w:ascii="宋体" w:hAnsi="宋体"/>
                <w:kern w:val="0"/>
                <w:sz w:val="18"/>
                <w:szCs w:val="18"/>
              </w:rPr>
            </w:pPr>
            <w:r>
              <w:rPr>
                <w:rFonts w:ascii="宋体" w:hAnsi="宋体"/>
                <w:kern w:val="0"/>
                <w:sz w:val="18"/>
                <w:szCs w:val="18"/>
              </w:rPr>
              <w:t>数据分布</w:t>
            </w:r>
          </w:p>
        </w:tc>
        <w:tc>
          <w:tcPr>
            <w:tcW w:w="1054" w:type="dxa"/>
            <w:vMerge w:val="restart"/>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vMerge w:val="continue"/>
            <w:vAlign w:val="center"/>
          </w:tcPr>
          <w:p>
            <w:pPr>
              <w:widowControl/>
              <w:jc w:val="center"/>
              <w:rPr>
                <w:rFonts w:ascii="宋体" w:hAnsi="宋体" w:eastAsia="宋体"/>
                <w:color w:val="000000"/>
                <w:kern w:val="0"/>
                <w:sz w:val="18"/>
                <w:szCs w:val="18"/>
              </w:rPr>
            </w:pPr>
          </w:p>
        </w:tc>
        <w:tc>
          <w:tcPr>
            <w:tcW w:w="2831" w:type="dxa"/>
            <w:vMerge w:val="continue"/>
            <w:vAlign w:val="center"/>
          </w:tcPr>
          <w:p>
            <w:pPr>
              <w:widowControl/>
              <w:jc w:val="center"/>
              <w:rPr>
                <w:rFonts w:ascii="宋体" w:hAnsi="宋体" w:eastAsia="宋体"/>
                <w:color w:val="000000"/>
                <w:kern w:val="0"/>
                <w:sz w:val="18"/>
                <w:szCs w:val="18"/>
              </w:rPr>
            </w:pPr>
          </w:p>
        </w:tc>
        <w:tc>
          <w:tcPr>
            <w:tcW w:w="850" w:type="dxa"/>
            <w:noWrap/>
            <w:vAlign w:val="center"/>
          </w:tcPr>
          <w:p>
            <w:pPr>
              <w:widowControl/>
              <w:jc w:val="center"/>
              <w:rPr>
                <w:rFonts w:ascii="宋体" w:hAnsi="宋体" w:eastAsia="宋体"/>
                <w:kern w:val="0"/>
                <w:sz w:val="18"/>
                <w:szCs w:val="18"/>
              </w:rPr>
            </w:pPr>
            <w:r>
              <w:rPr>
                <w:rFonts w:hint="eastAsia" w:ascii="宋体" w:hAnsi="宋体"/>
                <w:kern w:val="0"/>
                <w:sz w:val="18"/>
                <w:szCs w:val="18"/>
              </w:rPr>
              <w:t>最小值</w:t>
            </w:r>
          </w:p>
        </w:tc>
        <w:tc>
          <w:tcPr>
            <w:tcW w:w="690" w:type="dxa"/>
            <w:noWrap/>
            <w:vAlign w:val="center"/>
          </w:tcPr>
          <w:p>
            <w:pPr>
              <w:widowControl/>
              <w:jc w:val="center"/>
              <w:rPr>
                <w:rFonts w:ascii="宋体" w:hAnsi="宋体" w:eastAsia="宋体"/>
                <w:kern w:val="0"/>
                <w:sz w:val="18"/>
                <w:szCs w:val="18"/>
              </w:rPr>
            </w:pPr>
            <w:r>
              <w:rPr>
                <w:rFonts w:ascii="宋体" w:hAnsi="宋体" w:eastAsia="宋体"/>
                <w:kern w:val="0"/>
                <w:sz w:val="18"/>
                <w:szCs w:val="18"/>
              </w:rPr>
              <w:t>5%</w:t>
            </w:r>
          </w:p>
        </w:tc>
        <w:tc>
          <w:tcPr>
            <w:tcW w:w="690" w:type="dxa"/>
            <w:noWrap/>
            <w:vAlign w:val="center"/>
          </w:tcPr>
          <w:p>
            <w:pPr>
              <w:widowControl/>
              <w:jc w:val="center"/>
              <w:rPr>
                <w:rFonts w:ascii="宋体" w:hAnsi="宋体" w:eastAsia="宋体"/>
                <w:kern w:val="0"/>
                <w:sz w:val="18"/>
                <w:szCs w:val="18"/>
              </w:rPr>
            </w:pPr>
            <w:r>
              <w:rPr>
                <w:rFonts w:ascii="宋体" w:hAnsi="宋体" w:eastAsia="宋体"/>
                <w:kern w:val="0"/>
                <w:sz w:val="18"/>
                <w:szCs w:val="18"/>
              </w:rPr>
              <w:t>10%</w:t>
            </w:r>
          </w:p>
        </w:tc>
        <w:tc>
          <w:tcPr>
            <w:tcW w:w="690" w:type="dxa"/>
            <w:noWrap/>
            <w:vAlign w:val="center"/>
          </w:tcPr>
          <w:p>
            <w:pPr>
              <w:widowControl/>
              <w:jc w:val="center"/>
              <w:rPr>
                <w:rFonts w:ascii="宋体" w:hAnsi="宋体" w:eastAsia="宋体"/>
                <w:kern w:val="0"/>
                <w:sz w:val="18"/>
                <w:szCs w:val="18"/>
              </w:rPr>
            </w:pPr>
            <w:r>
              <w:rPr>
                <w:rFonts w:ascii="宋体" w:hAnsi="宋体" w:eastAsia="宋体"/>
                <w:kern w:val="0"/>
                <w:sz w:val="18"/>
                <w:szCs w:val="18"/>
              </w:rPr>
              <w:t>25%</w:t>
            </w:r>
          </w:p>
        </w:tc>
        <w:tc>
          <w:tcPr>
            <w:tcW w:w="690" w:type="dxa"/>
            <w:noWrap/>
            <w:vAlign w:val="center"/>
          </w:tcPr>
          <w:p>
            <w:pPr>
              <w:widowControl/>
              <w:jc w:val="center"/>
              <w:rPr>
                <w:rFonts w:ascii="宋体" w:hAnsi="宋体" w:eastAsia="宋体"/>
                <w:kern w:val="0"/>
                <w:sz w:val="18"/>
                <w:szCs w:val="18"/>
              </w:rPr>
            </w:pPr>
            <w:r>
              <w:rPr>
                <w:rFonts w:ascii="宋体" w:hAnsi="宋体" w:eastAsia="宋体"/>
                <w:kern w:val="0"/>
                <w:sz w:val="18"/>
                <w:szCs w:val="18"/>
              </w:rPr>
              <w:t>50%</w:t>
            </w:r>
          </w:p>
        </w:tc>
        <w:tc>
          <w:tcPr>
            <w:tcW w:w="690" w:type="dxa"/>
            <w:noWrap/>
            <w:vAlign w:val="center"/>
          </w:tcPr>
          <w:p>
            <w:pPr>
              <w:widowControl/>
              <w:jc w:val="center"/>
              <w:rPr>
                <w:rFonts w:ascii="宋体" w:hAnsi="宋体" w:eastAsia="宋体"/>
                <w:kern w:val="0"/>
                <w:sz w:val="18"/>
                <w:szCs w:val="18"/>
              </w:rPr>
            </w:pPr>
            <w:r>
              <w:rPr>
                <w:rFonts w:ascii="宋体" w:hAnsi="宋体" w:eastAsia="宋体"/>
                <w:kern w:val="0"/>
                <w:sz w:val="18"/>
                <w:szCs w:val="18"/>
              </w:rPr>
              <w:t>75%</w:t>
            </w:r>
          </w:p>
        </w:tc>
        <w:tc>
          <w:tcPr>
            <w:tcW w:w="690" w:type="dxa"/>
            <w:noWrap/>
            <w:vAlign w:val="center"/>
          </w:tcPr>
          <w:p>
            <w:pPr>
              <w:widowControl/>
              <w:jc w:val="center"/>
              <w:rPr>
                <w:rFonts w:ascii="宋体" w:hAnsi="宋体" w:eastAsia="宋体"/>
                <w:kern w:val="0"/>
                <w:sz w:val="18"/>
                <w:szCs w:val="18"/>
              </w:rPr>
            </w:pPr>
            <w:r>
              <w:rPr>
                <w:rFonts w:ascii="宋体" w:hAnsi="宋体" w:eastAsia="宋体"/>
                <w:kern w:val="0"/>
                <w:sz w:val="18"/>
                <w:szCs w:val="18"/>
              </w:rPr>
              <w:t>90%</w:t>
            </w:r>
          </w:p>
        </w:tc>
        <w:tc>
          <w:tcPr>
            <w:tcW w:w="690" w:type="dxa"/>
            <w:noWrap/>
            <w:vAlign w:val="center"/>
          </w:tcPr>
          <w:p>
            <w:pPr>
              <w:widowControl/>
              <w:jc w:val="center"/>
              <w:rPr>
                <w:rFonts w:ascii="宋体" w:hAnsi="宋体" w:eastAsia="宋体"/>
                <w:kern w:val="0"/>
                <w:sz w:val="18"/>
                <w:szCs w:val="18"/>
              </w:rPr>
            </w:pPr>
            <w:r>
              <w:rPr>
                <w:rFonts w:ascii="宋体" w:hAnsi="宋体" w:eastAsia="宋体"/>
                <w:kern w:val="0"/>
                <w:sz w:val="18"/>
                <w:szCs w:val="18"/>
              </w:rPr>
              <w:t>95%</w:t>
            </w:r>
          </w:p>
        </w:tc>
        <w:tc>
          <w:tcPr>
            <w:tcW w:w="850" w:type="dxa"/>
            <w:noWrap/>
            <w:vAlign w:val="center"/>
          </w:tcPr>
          <w:p>
            <w:pPr>
              <w:widowControl/>
              <w:jc w:val="center"/>
              <w:rPr>
                <w:rFonts w:ascii="宋体" w:hAnsi="宋体" w:eastAsia="宋体"/>
                <w:kern w:val="0"/>
                <w:sz w:val="18"/>
                <w:szCs w:val="18"/>
              </w:rPr>
            </w:pPr>
            <w:r>
              <w:rPr>
                <w:rFonts w:hint="eastAsia" w:ascii="宋体" w:hAnsi="宋体"/>
                <w:kern w:val="0"/>
                <w:sz w:val="18"/>
                <w:szCs w:val="18"/>
              </w:rPr>
              <w:t>最大值</w:t>
            </w:r>
          </w:p>
        </w:tc>
        <w:tc>
          <w:tcPr>
            <w:tcW w:w="690" w:type="dxa"/>
            <w:vMerge w:val="continue"/>
            <w:vAlign w:val="center"/>
          </w:tcPr>
          <w:p>
            <w:pPr>
              <w:widowControl/>
              <w:jc w:val="center"/>
              <w:rPr>
                <w:rFonts w:ascii="宋体" w:hAnsi="宋体" w:eastAsia="宋体"/>
                <w:kern w:val="0"/>
                <w:sz w:val="18"/>
                <w:szCs w:val="18"/>
              </w:rPr>
            </w:pPr>
          </w:p>
        </w:tc>
        <w:tc>
          <w:tcPr>
            <w:tcW w:w="690" w:type="dxa"/>
            <w:vMerge w:val="continue"/>
            <w:vAlign w:val="center"/>
          </w:tcPr>
          <w:p>
            <w:pPr>
              <w:widowControl/>
              <w:jc w:val="center"/>
              <w:rPr>
                <w:rFonts w:ascii="宋体" w:hAnsi="宋体" w:eastAsia="宋体"/>
                <w:kern w:val="0"/>
                <w:sz w:val="18"/>
                <w:szCs w:val="18"/>
              </w:rPr>
            </w:pPr>
          </w:p>
        </w:tc>
        <w:tc>
          <w:tcPr>
            <w:tcW w:w="690" w:type="dxa"/>
            <w:vMerge w:val="continue"/>
            <w:vAlign w:val="center"/>
          </w:tcPr>
          <w:p>
            <w:pPr>
              <w:widowControl/>
              <w:jc w:val="center"/>
              <w:rPr>
                <w:rFonts w:ascii="宋体" w:hAnsi="宋体" w:eastAsia="宋体"/>
                <w:kern w:val="0"/>
                <w:sz w:val="18"/>
                <w:szCs w:val="18"/>
              </w:rPr>
            </w:pPr>
          </w:p>
        </w:tc>
        <w:tc>
          <w:tcPr>
            <w:tcW w:w="584" w:type="dxa"/>
            <w:vMerge w:val="continue"/>
            <w:vAlign w:val="center"/>
          </w:tcPr>
          <w:p>
            <w:pPr>
              <w:widowControl/>
              <w:jc w:val="center"/>
              <w:rPr>
                <w:rFonts w:ascii="宋体" w:hAnsi="宋体" w:eastAsia="宋体"/>
                <w:kern w:val="0"/>
                <w:sz w:val="18"/>
                <w:szCs w:val="18"/>
              </w:rPr>
            </w:pPr>
          </w:p>
        </w:tc>
        <w:tc>
          <w:tcPr>
            <w:tcW w:w="796" w:type="dxa"/>
            <w:vMerge w:val="continue"/>
            <w:vAlign w:val="center"/>
          </w:tcPr>
          <w:p>
            <w:pPr>
              <w:widowControl/>
              <w:jc w:val="center"/>
              <w:rPr>
                <w:rFonts w:ascii="宋体" w:hAnsi="宋体" w:eastAsia="宋体"/>
                <w:kern w:val="0"/>
                <w:sz w:val="18"/>
                <w:szCs w:val="18"/>
              </w:rPr>
            </w:pPr>
          </w:p>
        </w:tc>
        <w:tc>
          <w:tcPr>
            <w:tcW w:w="1054" w:type="dxa"/>
            <w:vMerge w:val="continue"/>
          </w:tcPr>
          <w:p>
            <w:pPr>
              <w:widowControl/>
              <w:jc w:val="center"/>
              <w:rPr>
                <w:rFonts w:ascii="宋体" w:hAnsi="宋体" w:eastAsia="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镉</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0.91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0.14</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1.37</w:t>
            </w:r>
          </w:p>
        </w:tc>
        <w:tc>
          <w:tcPr>
            <w:tcW w:w="796" w:type="dxa"/>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0.23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汞</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0.42</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2.02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1.65</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0.42</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砷</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6.29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7.12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9.89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8.39</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1.26</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12.40</w:t>
            </w:r>
          </w:p>
        </w:tc>
      </w:tr>
      <w:tr>
        <w:tblPrEx>
          <w:tblCellMar>
            <w:top w:w="0" w:type="dxa"/>
            <w:left w:w="108" w:type="dxa"/>
            <w:bottom w:w="0" w:type="dxa"/>
            <w:right w:w="108" w:type="dxa"/>
          </w:tblCellMar>
        </w:tblPrEx>
        <w:trPr>
          <w:trHeight w:val="288" w:hRule="atLeast"/>
        </w:trPr>
        <w:tc>
          <w:tcPr>
            <w:tcW w:w="638" w:type="dxa"/>
            <w:vMerge w:val="restart"/>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铅</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冲湖积平原</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22.50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24.48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26.34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29.70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38.92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41.60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56.80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32.84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5.46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32.42</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1.17</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41.60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38" w:type="dxa"/>
            <w:vMerge w:val="continue"/>
            <w:vAlign w:val="center"/>
          </w:tcPr>
          <w:p>
            <w:pPr>
              <w:widowControl/>
              <w:jc w:val="center"/>
              <w:rPr>
                <w:rFonts w:ascii="宋体" w:hAnsi="宋体" w:eastAsia="宋体"/>
                <w:color w:val="000000"/>
                <w:kern w:val="0"/>
                <w:sz w:val="18"/>
                <w:szCs w:val="18"/>
              </w:rPr>
            </w:pP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高亢平原及黄土岗地/丘陵</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17.80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26.30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34.30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37.60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44.10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51.00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68.20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35.53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7.76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34.78</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1.23</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51.00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铬</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51.82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59.38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67.60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76.80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82.20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85.64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87.56</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99.65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73.97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72.97</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87.56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铜</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19.38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22.06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25.70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35.88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38.42</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49.00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28.96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28.37</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1.23</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38.42</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锌</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24.90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52.00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58.31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65.63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76.10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87.68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98.95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110.0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136.0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77.53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17.59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75.53</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1.26</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110.0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镍</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12.60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17.65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20.56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27.23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39.11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41.00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50.00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31.39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7.09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30.45</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1.30</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41.00</w:t>
            </w:r>
          </w:p>
        </w:tc>
      </w:tr>
      <w:tr>
        <w:tblPrEx>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钴</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8.43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9.28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13.65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16.15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16.88</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13.13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12.78</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1.29</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16.88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钒</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40.35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50.60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70.43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90.55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103.0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108.5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111.0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85.13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22.74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81.09</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1.41</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111.0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锰</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229.0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423.3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462.9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577.5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647.0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714.3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790.4</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1227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586.7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114.3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576.0</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1.21</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偏态</w:t>
            </w:r>
          </w:p>
        </w:tc>
        <w:tc>
          <w:tcPr>
            <w:tcW w:w="1054" w:type="dxa"/>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790.4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38" w:type="dxa"/>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硒</w:t>
            </w:r>
          </w:p>
        </w:tc>
        <w:tc>
          <w:tcPr>
            <w:tcW w:w="2831"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0.48</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0.63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0.31</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1.38</w:t>
            </w:r>
          </w:p>
        </w:tc>
        <w:tc>
          <w:tcPr>
            <w:tcW w:w="796" w:type="dxa"/>
            <w:vAlign w:val="center"/>
          </w:tcPr>
          <w:p>
            <w:pPr>
              <w:widowControl/>
              <w:jc w:val="center"/>
              <w:rPr>
                <w:rFonts w:ascii="宋体" w:hAnsi="宋体" w:eastAsia="宋体"/>
                <w:color w:val="000000"/>
                <w:kern w:val="0"/>
                <w:sz w:val="18"/>
                <w:szCs w:val="18"/>
              </w:rPr>
            </w:pPr>
            <w:r>
              <w:rPr>
                <w:rFonts w:hint="eastAsia" w:ascii="宋体" w:hAnsi="宋体" w:eastAsia="宋体"/>
                <w:color w:val="000000"/>
                <w:kern w:val="0"/>
                <w:sz w:val="18"/>
                <w:szCs w:val="18"/>
              </w:rPr>
              <w:t>偏态</w:t>
            </w:r>
          </w:p>
        </w:tc>
        <w:tc>
          <w:tcPr>
            <w:tcW w:w="1054"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4503" w:type="dxa"/>
            <w:gridSpan w:val="17"/>
            <w:noWrap/>
            <w:vAlign w:val="center"/>
          </w:tcPr>
          <w:p>
            <w:pPr>
              <w:widowControl/>
              <w:jc w:val="left"/>
              <w:rPr>
                <w:rFonts w:ascii="宋体" w:hAnsi="宋体" w:eastAsia="宋体"/>
                <w:color w:val="000000"/>
                <w:kern w:val="0"/>
                <w:sz w:val="18"/>
                <w:szCs w:val="18"/>
              </w:rPr>
            </w:pPr>
            <w:r>
              <w:rPr>
                <w:rFonts w:hint="eastAsia" w:ascii="黑体" w:hAnsi="黑体" w:eastAsia="黑体"/>
                <w:color w:val="000000"/>
                <w:sz w:val="18"/>
                <w:szCs w:val="18"/>
              </w:rPr>
              <w:t>注：</w:t>
            </w:r>
            <w:r>
              <w:rPr>
                <w:rFonts w:hint="eastAsia" w:ascii="宋体" w:hAnsi="宋体"/>
                <w:color w:val="000000"/>
                <w:sz w:val="18"/>
                <w:szCs w:val="18"/>
              </w:rPr>
              <w:t>区域内所有涉及地貌类型包括丘陵、冲湖积平原、高亢平原及黄土岗地。</w:t>
            </w:r>
          </w:p>
        </w:tc>
      </w:tr>
    </w:tbl>
    <w:p/>
    <w:p>
      <w:r>
        <w:br w:type="page"/>
      </w:r>
    </w:p>
    <w:p>
      <w:pPr>
        <w:pStyle w:val="9"/>
        <w:rPr>
          <w:b w:val="0"/>
          <w:bCs/>
        </w:rPr>
      </w:pPr>
      <w:r>
        <w:rPr>
          <w:rFonts w:ascii="黑体" w:hAnsi="黑体" w:eastAsia="黑体"/>
          <w:b w:val="0"/>
          <w:bCs/>
          <w:color w:val="000000"/>
          <w:sz w:val="21"/>
          <w:szCs w:val="21"/>
        </w:rPr>
        <w:t>表</w:t>
      </w:r>
      <w:r>
        <w:rPr>
          <w:rFonts w:hint="eastAsia" w:ascii="黑体" w:hAnsi="黑体" w:eastAsia="黑体"/>
          <w:b w:val="0"/>
          <w:bCs/>
          <w:color w:val="000000"/>
          <w:sz w:val="21"/>
          <w:szCs w:val="21"/>
        </w:rPr>
        <w:t>B.7</w:t>
      </w:r>
      <w:r>
        <w:rPr>
          <w:rFonts w:ascii="黑体" w:hAnsi="黑体" w:eastAsia="黑体"/>
          <w:b w:val="0"/>
          <w:bCs/>
          <w:color w:val="000000"/>
          <w:sz w:val="21"/>
          <w:szCs w:val="21"/>
        </w:rPr>
        <w:t xml:space="preserve"> </w:t>
      </w:r>
      <w:r>
        <w:rPr>
          <w:rFonts w:eastAsia="黑体"/>
          <w:b w:val="0"/>
          <w:bCs/>
          <w:color w:val="000000"/>
          <w:sz w:val="21"/>
          <w:szCs w:val="21"/>
        </w:rPr>
        <w:t xml:space="preserve"> 相城区</w:t>
      </w:r>
      <w:r>
        <w:rPr>
          <w:rFonts w:hint="eastAsia" w:eastAsia="黑体"/>
          <w:b w:val="0"/>
          <w:bCs/>
          <w:color w:val="000000"/>
          <w:sz w:val="21"/>
          <w:szCs w:val="21"/>
        </w:rPr>
        <w:t>土壤环境</w:t>
      </w:r>
      <w:r>
        <w:rPr>
          <w:rFonts w:eastAsia="黑体"/>
          <w:b w:val="0"/>
          <w:bCs/>
          <w:color w:val="000000"/>
          <w:sz w:val="21"/>
          <w:szCs w:val="21"/>
        </w:rPr>
        <w:t>背景含量的基本统计量</w:t>
      </w:r>
    </w:p>
    <w:p>
      <w:pPr>
        <w:jc w:val="right"/>
        <w:rPr>
          <w:rFonts w:ascii="宋体" w:hAnsi="宋体"/>
          <w:sz w:val="18"/>
          <w:szCs w:val="18"/>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fixed"/>
        <w:tblCellMar>
          <w:top w:w="0" w:type="dxa"/>
          <w:left w:w="108" w:type="dxa"/>
          <w:bottom w:w="0" w:type="dxa"/>
          <w:right w:w="108" w:type="dxa"/>
        </w:tblCellMar>
      </w:tblPr>
      <w:tblGrid>
        <w:gridCol w:w="638"/>
        <w:gridCol w:w="2631"/>
        <w:gridCol w:w="850"/>
        <w:gridCol w:w="690"/>
        <w:gridCol w:w="690"/>
        <w:gridCol w:w="690"/>
        <w:gridCol w:w="690"/>
        <w:gridCol w:w="690"/>
        <w:gridCol w:w="690"/>
        <w:gridCol w:w="690"/>
        <w:gridCol w:w="850"/>
        <w:gridCol w:w="690"/>
        <w:gridCol w:w="690"/>
        <w:gridCol w:w="690"/>
        <w:gridCol w:w="584"/>
        <w:gridCol w:w="694"/>
        <w:gridCol w:w="1356"/>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vMerge w:val="restart"/>
            <w:tcBorders>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元素</w:t>
            </w:r>
          </w:p>
        </w:tc>
        <w:tc>
          <w:tcPr>
            <w:tcW w:w="2631"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地貌类型</w:t>
            </w:r>
          </w:p>
        </w:tc>
        <w:tc>
          <w:tcPr>
            <w:tcW w:w="6530" w:type="dxa"/>
            <w:gridSpan w:val="9"/>
            <w:tcBorders>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顺序统计量（分位值）</w:t>
            </w:r>
          </w:p>
        </w:tc>
        <w:tc>
          <w:tcPr>
            <w:tcW w:w="690"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690"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S</w:t>
            </w:r>
          </w:p>
        </w:tc>
        <w:tc>
          <w:tcPr>
            <w:tcW w:w="690"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M</w:t>
            </w:r>
          </w:p>
        </w:tc>
        <w:tc>
          <w:tcPr>
            <w:tcW w:w="584"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D</w:t>
            </w:r>
          </w:p>
        </w:tc>
        <w:tc>
          <w:tcPr>
            <w:tcW w:w="694" w:type="dxa"/>
            <w:vMerge w:val="restart"/>
            <w:tcBorders>
              <w:left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数据分布</w:t>
            </w:r>
          </w:p>
        </w:tc>
        <w:tc>
          <w:tcPr>
            <w:tcW w:w="1356" w:type="dxa"/>
            <w:vMerge w:val="restart"/>
            <w:tcBorders>
              <w:lef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vMerge w:val="continue"/>
            <w:tcBorders>
              <w:top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263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最小值</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25%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75%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95%</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最大值</w:t>
            </w: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58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356" w:type="dxa"/>
            <w:vMerge w:val="continue"/>
            <w:tcBorders>
              <w:left w:val="single" w:color="auto" w:sz="4" w:space="0"/>
              <w:bottom w:val="single" w:color="auto" w:sz="4" w:space="0"/>
            </w:tcBorders>
          </w:tcPr>
          <w:p>
            <w:pPr>
              <w:widowControl/>
              <w:jc w:val="center"/>
              <w:rPr>
                <w:rFonts w:ascii="宋体" w:hAnsi="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镉</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0.28</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1.33</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0.28</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汞</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0.48</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0.61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1.80</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对数正态</w:t>
            </w:r>
          </w:p>
        </w:tc>
        <w:tc>
          <w:tcPr>
            <w:tcW w:w="1356" w:type="dxa"/>
            <w:tcBorders>
              <w:top w:val="nil"/>
              <w:left w:val="nil"/>
              <w:bottom w:val="single" w:color="auto" w:sz="4" w:space="0"/>
            </w:tcBorders>
            <w:vAlign w:val="center"/>
          </w:tcPr>
          <w:p>
            <w:pPr>
              <w:widowControl/>
              <w:jc w:val="center"/>
              <w:rPr>
                <w:rFonts w:ascii="宋体" w:hAnsi="宋体" w:eastAsia="宋体"/>
                <w:color w:val="000000"/>
                <w:kern w:val="0"/>
                <w:sz w:val="18"/>
                <w:szCs w:val="18"/>
              </w:rPr>
            </w:pPr>
            <w:r>
              <w:rPr>
                <w:rFonts w:hint="eastAsia" w:ascii="宋体" w:hAnsi="宋体" w:eastAsia="宋体"/>
                <w:color w:val="000000"/>
                <w:kern w:val="0"/>
                <w:sz w:val="18"/>
                <w:szCs w:val="18"/>
              </w:rPr>
              <w:t>0</w:t>
            </w:r>
            <w:r>
              <w:rPr>
                <w:rFonts w:ascii="宋体" w:hAnsi="宋体" w:eastAsia="宋体"/>
                <w:color w:val="000000"/>
                <w:kern w:val="0"/>
                <w:sz w:val="18"/>
                <w:szCs w:val="18"/>
              </w:rPr>
              <w:t>.61</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砷</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7.27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12.80</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32.50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10.04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9.85</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1.22</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12.80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铅</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23.10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27.46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43.40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49.22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55.42</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69.90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37.51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9.52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36.34</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1.29</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55.42</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铬</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62.67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66.90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73.00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78.90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91.32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93.40</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78.63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10.25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77.87</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1.16</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93.40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铜</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18.80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26.84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31.93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34.85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38.88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42.82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46.12</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34.92</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1.18</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46.12</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锌</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37.76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71.37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78.49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85.20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93.40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116.1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127.6</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95.15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16.75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93.67</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127.6</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镍</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26.91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28.62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38.08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40.69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42.30</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46.70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34.87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4.88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34.49</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1.17</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42.30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钴</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10.86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15.80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16.24</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17.80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14.23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14.05</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16.24</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钒</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47.26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89.48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99.00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113.8</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97.73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18.85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94.79</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1.33</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113.8</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锰</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168.0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356.4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389.4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450.0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507.0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587.0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658.3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713.0</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1069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522.1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510.1</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713.0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硒</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0.54</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0.35</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1.68</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1356"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0.54</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14503" w:type="dxa"/>
            <w:gridSpan w:val="17"/>
            <w:tcBorders>
              <w:top w:val="single" w:color="auto" w:sz="4" w:space="0"/>
            </w:tcBorders>
            <w:noWrap/>
            <w:vAlign w:val="center"/>
          </w:tcPr>
          <w:p>
            <w:pPr>
              <w:pStyle w:val="9"/>
              <w:snapToGrid w:val="0"/>
              <w:jc w:val="left"/>
              <w:rPr>
                <w:rFonts w:ascii="宋体" w:hAnsi="宋体" w:eastAsia="宋体"/>
                <w:b w:val="0"/>
                <w:color w:val="000000"/>
                <w:kern w:val="0"/>
                <w:sz w:val="18"/>
                <w:szCs w:val="18"/>
              </w:rPr>
            </w:pPr>
            <w:r>
              <w:rPr>
                <w:rFonts w:hint="eastAsia" w:ascii="黑体" w:hAnsi="黑体" w:eastAsia="黑体"/>
                <w:b w:val="0"/>
                <w:color w:val="000000"/>
                <w:sz w:val="18"/>
                <w:szCs w:val="18"/>
              </w:rPr>
              <w:t>注：</w:t>
            </w:r>
            <w:r>
              <w:rPr>
                <w:rFonts w:hint="eastAsia" w:ascii="宋体" w:hAnsi="宋体" w:eastAsia="宋体"/>
                <w:b w:val="0"/>
                <w:color w:val="000000"/>
                <w:sz w:val="18"/>
                <w:szCs w:val="18"/>
              </w:rPr>
              <w:t>区域内所有涉及地貌类型包括冲湖积平原、高亢平原及黄土岗地。</w:t>
            </w:r>
          </w:p>
        </w:tc>
      </w:tr>
    </w:tbl>
    <w:p/>
    <w:p>
      <w:r>
        <w:br w:type="page"/>
      </w:r>
    </w:p>
    <w:p>
      <w:pPr>
        <w:pStyle w:val="9"/>
        <w:rPr>
          <w:b w:val="0"/>
          <w:bCs/>
        </w:rPr>
      </w:pPr>
      <w:r>
        <w:rPr>
          <w:rFonts w:ascii="黑体" w:hAnsi="黑体" w:eastAsia="黑体"/>
          <w:b w:val="0"/>
          <w:bCs/>
          <w:color w:val="000000"/>
          <w:sz w:val="21"/>
          <w:szCs w:val="21"/>
        </w:rPr>
        <w:t>表</w:t>
      </w:r>
      <w:r>
        <w:rPr>
          <w:rFonts w:hint="eastAsia" w:ascii="黑体" w:hAnsi="黑体" w:eastAsia="黑体"/>
          <w:b w:val="0"/>
          <w:bCs/>
          <w:color w:val="000000"/>
          <w:sz w:val="21"/>
          <w:szCs w:val="21"/>
        </w:rPr>
        <w:t>B.8</w:t>
      </w:r>
      <w:r>
        <w:rPr>
          <w:rFonts w:eastAsia="黑体"/>
          <w:b w:val="0"/>
          <w:bCs/>
          <w:color w:val="000000"/>
          <w:sz w:val="21"/>
          <w:szCs w:val="21"/>
        </w:rPr>
        <w:t xml:space="preserve">  姑苏区</w:t>
      </w:r>
      <w:r>
        <w:rPr>
          <w:rFonts w:hint="eastAsia" w:eastAsia="黑体"/>
          <w:b w:val="0"/>
          <w:bCs/>
          <w:color w:val="000000"/>
          <w:sz w:val="21"/>
          <w:szCs w:val="21"/>
        </w:rPr>
        <w:t>土壤环境</w:t>
      </w:r>
      <w:r>
        <w:rPr>
          <w:rFonts w:eastAsia="黑体"/>
          <w:b w:val="0"/>
          <w:bCs/>
          <w:color w:val="000000"/>
          <w:sz w:val="21"/>
          <w:szCs w:val="21"/>
        </w:rPr>
        <w:t>背景含量的基本统计量</w:t>
      </w:r>
    </w:p>
    <w:p>
      <w:pPr>
        <w:jc w:val="right"/>
        <w:rPr>
          <w:rFonts w:ascii="宋体" w:hAnsi="宋体"/>
          <w:sz w:val="18"/>
          <w:szCs w:val="18"/>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fixed"/>
        <w:tblCellMar>
          <w:top w:w="0" w:type="dxa"/>
          <w:left w:w="108" w:type="dxa"/>
          <w:bottom w:w="0" w:type="dxa"/>
          <w:right w:w="108" w:type="dxa"/>
        </w:tblCellMar>
      </w:tblPr>
      <w:tblGrid>
        <w:gridCol w:w="638"/>
        <w:gridCol w:w="2631"/>
        <w:gridCol w:w="850"/>
        <w:gridCol w:w="690"/>
        <w:gridCol w:w="690"/>
        <w:gridCol w:w="690"/>
        <w:gridCol w:w="690"/>
        <w:gridCol w:w="690"/>
        <w:gridCol w:w="690"/>
        <w:gridCol w:w="690"/>
        <w:gridCol w:w="850"/>
        <w:gridCol w:w="690"/>
        <w:gridCol w:w="690"/>
        <w:gridCol w:w="690"/>
        <w:gridCol w:w="584"/>
        <w:gridCol w:w="694"/>
        <w:gridCol w:w="1356"/>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vMerge w:val="restart"/>
            <w:tcBorders>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元素</w:t>
            </w:r>
          </w:p>
        </w:tc>
        <w:tc>
          <w:tcPr>
            <w:tcW w:w="2631"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地貌类型</w:t>
            </w:r>
          </w:p>
        </w:tc>
        <w:tc>
          <w:tcPr>
            <w:tcW w:w="6530" w:type="dxa"/>
            <w:gridSpan w:val="9"/>
            <w:tcBorders>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顺序统计量（分位值）</w:t>
            </w:r>
          </w:p>
        </w:tc>
        <w:tc>
          <w:tcPr>
            <w:tcW w:w="690"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690"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S</w:t>
            </w:r>
          </w:p>
        </w:tc>
        <w:tc>
          <w:tcPr>
            <w:tcW w:w="690"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M</w:t>
            </w:r>
          </w:p>
        </w:tc>
        <w:tc>
          <w:tcPr>
            <w:tcW w:w="584"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D</w:t>
            </w:r>
          </w:p>
        </w:tc>
        <w:tc>
          <w:tcPr>
            <w:tcW w:w="694" w:type="dxa"/>
            <w:vMerge w:val="restart"/>
            <w:tcBorders>
              <w:left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数据分布</w:t>
            </w:r>
          </w:p>
        </w:tc>
        <w:tc>
          <w:tcPr>
            <w:tcW w:w="1356" w:type="dxa"/>
            <w:vMerge w:val="restart"/>
            <w:tcBorders>
              <w:lef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vMerge w:val="continue"/>
            <w:tcBorders>
              <w:top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263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最小值</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25%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75%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95%</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最大值</w:t>
            </w: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58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9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356" w:type="dxa"/>
            <w:vMerge w:val="continue"/>
            <w:tcBorders>
              <w:left w:val="single" w:color="auto" w:sz="4" w:space="0"/>
              <w:bottom w:val="single" w:color="auto" w:sz="4" w:space="0"/>
            </w:tcBorders>
          </w:tcPr>
          <w:p>
            <w:pPr>
              <w:widowControl/>
              <w:jc w:val="center"/>
              <w:rPr>
                <w:rFonts w:ascii="宋体" w:hAnsi="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镉</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1.43</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0.41</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汞</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0.42</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2.02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1.65</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0.48</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砷</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8.11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8.24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8.95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9.84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13.05</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10.03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9.92</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1.17</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13.24</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铅</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29.54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32.06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43.50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51.05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63.00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66.37</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46.13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16.21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44.16</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1.33</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78.55</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铬</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46.36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66.91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73.86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79.53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84.30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88.99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98.41</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83.92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9.14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83.39</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102.2</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铜</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33.30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36.53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37.95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45.95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51.73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56.00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57.93</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62.20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46.19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7.99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45.56</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62.17</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锌</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23.70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83.58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92.50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99.20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107.0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131.2</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148.0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101.2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14.48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100.1</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1.16</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130.1</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镍</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19.75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30.45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37.10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39.38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41.43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42.75</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48.90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36.87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36.64</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44.80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钴</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12.80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15.10</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14.06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0.74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14.04</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1.05</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15.55</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钒</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87.60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88.00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94.70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96.70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100.0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107.0</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107.0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96.91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96.74</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1.06</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108.7</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锰</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229.0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423.3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462.9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515.0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577.5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647.0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714.3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790.4</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1227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586.7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114.3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576.0</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1.21</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815.4</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638"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硒</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区域内所有涉及地貌类型</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0.25</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0.56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0.70</w:t>
            </w:r>
          </w:p>
        </w:tc>
        <w:tc>
          <w:tcPr>
            <w:tcW w:w="85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0.41</w:t>
            </w:r>
          </w:p>
        </w:tc>
        <w:tc>
          <w:tcPr>
            <w:tcW w:w="584"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1.41</w:t>
            </w:r>
          </w:p>
        </w:tc>
        <w:tc>
          <w:tcPr>
            <w:tcW w:w="694"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正态</w:t>
            </w:r>
          </w:p>
        </w:tc>
        <w:tc>
          <w:tcPr>
            <w:tcW w:w="1356" w:type="dxa"/>
            <w:tcBorders>
              <w:top w:val="nil"/>
              <w:left w:val="nil"/>
              <w:bottom w:val="single" w:color="auto" w:sz="4" w:space="0"/>
            </w:tcBorders>
          </w:tcPr>
          <w:p>
            <w:pPr>
              <w:widowControl/>
              <w:jc w:val="center"/>
              <w:rPr>
                <w:rFonts w:ascii="宋体" w:hAnsi="宋体"/>
                <w:color w:val="000000"/>
                <w:kern w:val="0"/>
                <w:sz w:val="18"/>
                <w:szCs w:val="18"/>
              </w:rPr>
            </w:pPr>
            <w:r>
              <w:rPr>
                <w:rFonts w:ascii="宋体" w:hAnsi="宋体"/>
                <w:sz w:val="18"/>
                <w:szCs w:val="18"/>
              </w:rPr>
              <w:t>0.84</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14503" w:type="dxa"/>
            <w:gridSpan w:val="17"/>
            <w:tcBorders>
              <w:top w:val="single" w:color="auto" w:sz="4" w:space="0"/>
            </w:tcBorders>
            <w:noWrap/>
            <w:vAlign w:val="center"/>
          </w:tcPr>
          <w:p>
            <w:pPr>
              <w:widowControl/>
              <w:jc w:val="left"/>
              <w:rPr>
                <w:rFonts w:ascii="宋体" w:hAnsi="宋体"/>
                <w:sz w:val="18"/>
                <w:szCs w:val="18"/>
              </w:rPr>
            </w:pPr>
            <w:r>
              <w:rPr>
                <w:rFonts w:hint="eastAsia" w:ascii="黑体" w:hAnsi="黑体" w:eastAsia="黑体"/>
                <w:color w:val="000000"/>
                <w:sz w:val="18"/>
                <w:szCs w:val="18"/>
              </w:rPr>
              <w:t>注：</w:t>
            </w:r>
            <w:r>
              <w:rPr>
                <w:rFonts w:hint="eastAsia" w:ascii="宋体" w:hAnsi="宋体"/>
                <w:color w:val="000000"/>
                <w:sz w:val="18"/>
                <w:szCs w:val="18"/>
              </w:rPr>
              <w:t>区域内所有涉及地貌类型包括丘陵、冲湖积平原、高亢平原及黄土岗地。</w:t>
            </w:r>
          </w:p>
        </w:tc>
      </w:tr>
    </w:tbl>
    <w:p>
      <w:pPr>
        <w:pStyle w:val="9"/>
        <w:tabs>
          <w:tab w:val="left" w:pos="4650"/>
        </w:tabs>
        <w:spacing w:line="360" w:lineRule="auto"/>
        <w:jc w:val="both"/>
        <w:rPr>
          <w:rFonts w:ascii="黑体" w:hAnsi="黑体" w:eastAsia="黑体"/>
          <w:color w:val="000000"/>
          <w:sz w:val="21"/>
          <w:szCs w:val="21"/>
        </w:rPr>
      </w:pPr>
    </w:p>
    <w:p>
      <w:pPr>
        <w:pStyle w:val="9"/>
        <w:tabs>
          <w:tab w:val="left" w:pos="1995"/>
        </w:tabs>
        <w:spacing w:line="360" w:lineRule="auto"/>
        <w:jc w:val="both"/>
        <w:rPr>
          <w:rFonts w:ascii="黑体" w:hAnsi="黑体" w:eastAsia="黑体"/>
          <w:color w:val="000000"/>
          <w:sz w:val="21"/>
          <w:szCs w:val="21"/>
        </w:rPr>
      </w:pPr>
      <w:r>
        <w:br w:type="page"/>
      </w:r>
    </w:p>
    <w:p>
      <w:pPr>
        <w:pStyle w:val="9"/>
      </w:pPr>
      <w:r>
        <w:rPr>
          <w:rFonts w:ascii="黑体" w:hAnsi="黑体" w:eastAsia="黑体"/>
          <w:b w:val="0"/>
          <w:bCs/>
          <w:color w:val="000000"/>
          <w:sz w:val="21"/>
          <w:szCs w:val="21"/>
        </w:rPr>
        <w:t>表</w:t>
      </w:r>
      <w:r>
        <w:rPr>
          <w:rFonts w:hint="eastAsia" w:ascii="黑体" w:hAnsi="黑体" w:eastAsia="黑体"/>
          <w:b w:val="0"/>
          <w:bCs/>
          <w:color w:val="000000"/>
          <w:sz w:val="21"/>
          <w:szCs w:val="21"/>
        </w:rPr>
        <w:t>B.9</w:t>
      </w:r>
      <w:r>
        <w:rPr>
          <w:rFonts w:ascii="黑体" w:hAnsi="黑体" w:eastAsia="黑体"/>
          <w:color w:val="000000"/>
          <w:sz w:val="21"/>
          <w:szCs w:val="21"/>
        </w:rPr>
        <w:t xml:space="preserve"> </w:t>
      </w:r>
      <w:r>
        <w:rPr>
          <w:rFonts w:eastAsia="黑体"/>
          <w:b w:val="0"/>
          <w:color w:val="000000"/>
          <w:sz w:val="21"/>
          <w:szCs w:val="21"/>
        </w:rPr>
        <w:t xml:space="preserve"> 苏州工业园区</w:t>
      </w:r>
      <w:r>
        <w:rPr>
          <w:rFonts w:hint="eastAsia" w:eastAsia="黑体"/>
          <w:b w:val="0"/>
          <w:color w:val="000000"/>
          <w:sz w:val="21"/>
          <w:szCs w:val="21"/>
        </w:rPr>
        <w:t>土壤环境</w:t>
      </w:r>
      <w:r>
        <w:rPr>
          <w:rFonts w:eastAsia="黑体"/>
          <w:b w:val="0"/>
          <w:color w:val="000000"/>
          <w:sz w:val="21"/>
          <w:szCs w:val="21"/>
        </w:rPr>
        <w:t>背景含量的基本统计量</w:t>
      </w:r>
    </w:p>
    <w:p>
      <w:pPr>
        <w:jc w:val="right"/>
        <w:rPr>
          <w:rFonts w:ascii="宋体" w:hAnsi="宋体"/>
          <w:sz w:val="18"/>
          <w:szCs w:val="18"/>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638"/>
        <w:gridCol w:w="2947"/>
        <w:gridCol w:w="850"/>
        <w:gridCol w:w="690"/>
        <w:gridCol w:w="690"/>
        <w:gridCol w:w="690"/>
        <w:gridCol w:w="690"/>
        <w:gridCol w:w="690"/>
        <w:gridCol w:w="690"/>
        <w:gridCol w:w="690"/>
        <w:gridCol w:w="850"/>
        <w:gridCol w:w="690"/>
        <w:gridCol w:w="690"/>
        <w:gridCol w:w="690"/>
        <w:gridCol w:w="584"/>
        <w:gridCol w:w="677"/>
        <w:gridCol w:w="1057"/>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vMerge w:val="restart"/>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元素</w:t>
            </w:r>
          </w:p>
        </w:tc>
        <w:tc>
          <w:tcPr>
            <w:tcW w:w="2947" w:type="dxa"/>
            <w:vMerge w:val="restart"/>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地貌类型</w:t>
            </w:r>
          </w:p>
        </w:tc>
        <w:tc>
          <w:tcPr>
            <w:tcW w:w="6530" w:type="dxa"/>
            <w:gridSpan w:val="9"/>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顺序统计量（分位值）</w:t>
            </w:r>
          </w:p>
        </w:tc>
        <w:tc>
          <w:tcPr>
            <w:tcW w:w="690" w:type="dxa"/>
            <w:vMerge w:val="restart"/>
            <w:noWrap/>
            <w:vAlign w:val="center"/>
          </w:tcPr>
          <w:p>
            <w:pPr>
              <w:widowControl/>
              <w:jc w:val="center"/>
              <w:rPr>
                <w:rFonts w:ascii="宋体" w:hAnsi="宋体" w:cs="宋体"/>
                <w:color w:val="000000"/>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690" w:type="dxa"/>
            <w:vMerge w:val="restart"/>
            <w:noWrap/>
            <w:vAlign w:val="center"/>
          </w:tcPr>
          <w:p>
            <w:pPr>
              <w:widowControl/>
              <w:jc w:val="center"/>
              <w:rPr>
                <w:rFonts w:ascii="宋体" w:hAnsi="宋体" w:cs="宋体"/>
                <w:i/>
                <w:iCs/>
                <w:color w:val="000000"/>
                <w:kern w:val="0"/>
                <w:sz w:val="18"/>
                <w:szCs w:val="18"/>
              </w:rPr>
            </w:pPr>
            <w:r>
              <w:rPr>
                <w:rFonts w:hint="eastAsia" w:ascii="宋体" w:hAnsi="宋体" w:cs="宋体"/>
                <w:i/>
                <w:iCs/>
                <w:color w:val="000000"/>
                <w:kern w:val="0"/>
                <w:sz w:val="18"/>
                <w:szCs w:val="18"/>
              </w:rPr>
              <w:t>S</w:t>
            </w:r>
          </w:p>
        </w:tc>
        <w:tc>
          <w:tcPr>
            <w:tcW w:w="690" w:type="dxa"/>
            <w:vMerge w:val="restart"/>
            <w:noWrap/>
            <w:vAlign w:val="center"/>
          </w:tcPr>
          <w:p>
            <w:pPr>
              <w:widowControl/>
              <w:jc w:val="center"/>
              <w:rPr>
                <w:rFonts w:ascii="宋体" w:hAnsi="宋体" w:cs="宋体"/>
                <w:i/>
                <w:iCs/>
                <w:color w:val="000000"/>
                <w:kern w:val="0"/>
                <w:sz w:val="18"/>
                <w:szCs w:val="18"/>
              </w:rPr>
            </w:pPr>
            <w:r>
              <w:rPr>
                <w:rFonts w:hint="eastAsia" w:ascii="宋体" w:hAnsi="宋体" w:cs="宋体"/>
                <w:i/>
                <w:iCs/>
                <w:color w:val="000000"/>
                <w:kern w:val="0"/>
                <w:sz w:val="18"/>
                <w:szCs w:val="18"/>
              </w:rPr>
              <w:t>M</w:t>
            </w:r>
          </w:p>
        </w:tc>
        <w:tc>
          <w:tcPr>
            <w:tcW w:w="584" w:type="dxa"/>
            <w:vMerge w:val="restart"/>
            <w:noWrap/>
            <w:vAlign w:val="center"/>
          </w:tcPr>
          <w:p>
            <w:pPr>
              <w:widowControl/>
              <w:jc w:val="center"/>
              <w:rPr>
                <w:rFonts w:ascii="宋体" w:hAnsi="宋体" w:cs="宋体"/>
                <w:i/>
                <w:iCs/>
                <w:color w:val="000000"/>
                <w:kern w:val="0"/>
                <w:sz w:val="18"/>
                <w:szCs w:val="18"/>
              </w:rPr>
            </w:pPr>
            <w:r>
              <w:rPr>
                <w:rFonts w:hint="eastAsia" w:ascii="宋体" w:hAnsi="宋体" w:cs="宋体"/>
                <w:i/>
                <w:iCs/>
                <w:color w:val="000000"/>
                <w:kern w:val="0"/>
                <w:sz w:val="18"/>
                <w:szCs w:val="18"/>
              </w:rPr>
              <w:t>D</w:t>
            </w:r>
          </w:p>
        </w:tc>
        <w:tc>
          <w:tcPr>
            <w:tcW w:w="677" w:type="dxa"/>
            <w:vMerge w:val="restart"/>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数据分布</w:t>
            </w:r>
          </w:p>
        </w:tc>
        <w:tc>
          <w:tcPr>
            <w:tcW w:w="1057" w:type="dxa"/>
            <w:vMerge w:val="restart"/>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vMerge w:val="continue"/>
            <w:vAlign w:val="center"/>
          </w:tcPr>
          <w:p>
            <w:pPr>
              <w:widowControl/>
              <w:jc w:val="left"/>
              <w:rPr>
                <w:rFonts w:ascii="宋体" w:hAnsi="宋体" w:cs="宋体"/>
                <w:color w:val="000000"/>
                <w:kern w:val="0"/>
                <w:sz w:val="18"/>
                <w:szCs w:val="18"/>
              </w:rPr>
            </w:pPr>
          </w:p>
        </w:tc>
        <w:tc>
          <w:tcPr>
            <w:tcW w:w="2947" w:type="dxa"/>
            <w:vMerge w:val="continue"/>
            <w:vAlign w:val="center"/>
          </w:tcPr>
          <w:p>
            <w:pPr>
              <w:widowControl/>
              <w:jc w:val="left"/>
              <w:rPr>
                <w:rFonts w:ascii="宋体" w:hAnsi="宋体" w:cs="宋体"/>
                <w:color w:val="000000"/>
                <w:kern w:val="0"/>
                <w:sz w:val="18"/>
                <w:szCs w:val="18"/>
              </w:rPr>
            </w:pPr>
          </w:p>
        </w:tc>
        <w:tc>
          <w:tcPr>
            <w:tcW w:w="850"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最小值</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95%</w:t>
            </w:r>
          </w:p>
        </w:tc>
        <w:tc>
          <w:tcPr>
            <w:tcW w:w="850"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最大值</w:t>
            </w:r>
          </w:p>
        </w:tc>
        <w:tc>
          <w:tcPr>
            <w:tcW w:w="690" w:type="dxa"/>
            <w:vMerge w:val="continue"/>
            <w:vAlign w:val="center"/>
          </w:tcPr>
          <w:p>
            <w:pPr>
              <w:widowControl/>
              <w:jc w:val="left"/>
              <w:rPr>
                <w:rFonts w:ascii="宋体" w:hAnsi="宋体" w:cs="宋体"/>
                <w:color w:val="000000"/>
                <w:kern w:val="0"/>
                <w:sz w:val="18"/>
                <w:szCs w:val="18"/>
              </w:rPr>
            </w:pPr>
          </w:p>
        </w:tc>
        <w:tc>
          <w:tcPr>
            <w:tcW w:w="690" w:type="dxa"/>
            <w:vMerge w:val="continue"/>
            <w:vAlign w:val="center"/>
          </w:tcPr>
          <w:p>
            <w:pPr>
              <w:widowControl/>
              <w:jc w:val="left"/>
              <w:rPr>
                <w:rFonts w:ascii="宋体" w:hAnsi="宋体" w:cs="宋体"/>
                <w:color w:val="000000"/>
                <w:kern w:val="0"/>
                <w:sz w:val="18"/>
                <w:szCs w:val="18"/>
              </w:rPr>
            </w:pPr>
          </w:p>
        </w:tc>
        <w:tc>
          <w:tcPr>
            <w:tcW w:w="690" w:type="dxa"/>
            <w:vMerge w:val="continue"/>
            <w:vAlign w:val="center"/>
          </w:tcPr>
          <w:p>
            <w:pPr>
              <w:widowControl/>
              <w:jc w:val="left"/>
              <w:rPr>
                <w:rFonts w:ascii="宋体" w:hAnsi="宋体" w:cs="宋体"/>
                <w:color w:val="000000"/>
                <w:kern w:val="0"/>
                <w:sz w:val="18"/>
                <w:szCs w:val="18"/>
              </w:rPr>
            </w:pPr>
          </w:p>
        </w:tc>
        <w:tc>
          <w:tcPr>
            <w:tcW w:w="584" w:type="dxa"/>
            <w:vMerge w:val="continue"/>
            <w:vAlign w:val="center"/>
          </w:tcPr>
          <w:p>
            <w:pPr>
              <w:widowControl/>
              <w:jc w:val="left"/>
              <w:rPr>
                <w:rFonts w:ascii="宋体" w:hAnsi="宋体" w:cs="宋体"/>
                <w:color w:val="000000"/>
                <w:kern w:val="0"/>
                <w:sz w:val="18"/>
                <w:szCs w:val="18"/>
              </w:rPr>
            </w:pPr>
          </w:p>
        </w:tc>
        <w:tc>
          <w:tcPr>
            <w:tcW w:w="677" w:type="dxa"/>
            <w:vMerge w:val="continue"/>
            <w:vAlign w:val="center"/>
          </w:tcPr>
          <w:p>
            <w:pPr>
              <w:widowControl/>
              <w:jc w:val="left"/>
              <w:rPr>
                <w:rFonts w:ascii="宋体" w:hAnsi="宋体" w:cs="宋体"/>
                <w:color w:val="000000"/>
                <w:kern w:val="0"/>
                <w:sz w:val="18"/>
                <w:szCs w:val="18"/>
              </w:rPr>
            </w:pPr>
          </w:p>
        </w:tc>
        <w:tc>
          <w:tcPr>
            <w:tcW w:w="1057" w:type="dxa"/>
            <w:vMerge w:val="continue"/>
            <w:vAlign w:val="center"/>
          </w:tcPr>
          <w:p>
            <w:pPr>
              <w:widowControl/>
              <w:jc w:val="left"/>
              <w:rPr>
                <w:rFonts w:ascii="宋体" w:hAnsi="宋体" w:cs="宋体"/>
                <w:color w:val="000000"/>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镉</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0.91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0.14</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1.37</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汞</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0.39</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0.18</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1.81</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0.39</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砷</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7.96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9.39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12.55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13.98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16.32</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25.40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11.77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11.55</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16.32</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vMerge w:val="restart"/>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铅</w:t>
            </w:r>
          </w:p>
        </w:tc>
        <w:tc>
          <w:tcPr>
            <w:tcW w:w="2947"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冲湖积平原</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7.79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25.40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44.50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52.54</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69.50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34.37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8.09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33.55</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52.54</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vMerge w:val="continue"/>
            <w:vAlign w:val="center"/>
          </w:tcPr>
          <w:p>
            <w:pPr>
              <w:widowControl/>
              <w:jc w:val="left"/>
              <w:rPr>
                <w:rFonts w:ascii="宋体" w:hAnsi="宋体" w:cs="宋体"/>
                <w:color w:val="000000"/>
                <w:kern w:val="0"/>
                <w:sz w:val="18"/>
                <w:szCs w:val="18"/>
              </w:rPr>
            </w:pPr>
          </w:p>
        </w:tc>
        <w:tc>
          <w:tcPr>
            <w:tcW w:w="2947"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高亢平原及黄土岗地</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20.40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24.51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25.23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26.25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27.85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30.48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35.37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38.81</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29.12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28.79</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1.16</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38.81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铬</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76.80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78.36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80.74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84.30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86.30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89.20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91.62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93.06</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103.0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86.47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4.55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86.35</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1.05</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93.06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铜</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24.10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27.02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27.64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30.40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39.36</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45.16</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49.10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33.38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33.03</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1.15</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45.16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锌</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61.00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65.80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75.00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81.90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92.20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109.5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123.0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138.0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85.04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18.08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83.18</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123.0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镍</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31.60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32.84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33.98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37.00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40.10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41.20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42.16</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47.10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38.34</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38.23</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1.08</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42.16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钴</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8.79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13.30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14.95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15.82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16.20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17.70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14.05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1.51</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13.96</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16.2</w:t>
            </w:r>
            <w:r>
              <w:rPr>
                <w:rFonts w:hint="eastAsia" w:ascii="宋体" w:hAnsi="宋体" w:eastAsia="宋体"/>
                <w:color w:val="000000"/>
                <w:kern w:val="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钒</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90.00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98.70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99.90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102.5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105.0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107.5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110.0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104.8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104.7</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1.05</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锰</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212.0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400.9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442.0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489.0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541.0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604.5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668.2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720.8</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943.0</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549.5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96.85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540.9</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720.8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38"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硒</w:t>
            </w:r>
          </w:p>
        </w:tc>
        <w:tc>
          <w:tcPr>
            <w:tcW w:w="2947" w:type="dxa"/>
            <w:noWrap/>
            <w:vAlign w:val="center"/>
          </w:tcPr>
          <w:p>
            <w:pPr>
              <w:widowControl/>
              <w:jc w:val="center"/>
              <w:rPr>
                <w:rFonts w:ascii="宋体" w:hAnsi="宋体" w:eastAsia="宋体"/>
                <w:color w:val="000000"/>
                <w:kern w:val="0"/>
                <w:sz w:val="18"/>
                <w:szCs w:val="18"/>
              </w:rPr>
            </w:pPr>
            <w:r>
              <w:rPr>
                <w:rFonts w:hint="eastAsia" w:ascii="宋体" w:hAnsi="宋体"/>
                <w:sz w:val="18"/>
                <w:szCs w:val="18"/>
              </w:rPr>
              <w:t>区域内所有涉及地貌类型</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0.27</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0.38</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0.45</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0.48</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0.63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0.33</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0.09</w:t>
            </w:r>
          </w:p>
        </w:tc>
        <w:tc>
          <w:tcPr>
            <w:tcW w:w="69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0.31</w:t>
            </w:r>
          </w:p>
        </w:tc>
        <w:tc>
          <w:tcPr>
            <w:tcW w:w="584"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1.38</w:t>
            </w:r>
          </w:p>
        </w:tc>
        <w:tc>
          <w:tcPr>
            <w:tcW w:w="677"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57"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4503" w:type="dxa"/>
            <w:gridSpan w:val="17"/>
            <w:noWrap/>
            <w:vAlign w:val="center"/>
          </w:tcPr>
          <w:p>
            <w:pPr>
              <w:pStyle w:val="9"/>
              <w:snapToGrid w:val="0"/>
              <w:jc w:val="left"/>
              <w:rPr>
                <w:rFonts w:ascii="宋体" w:hAnsi="宋体" w:eastAsia="宋体"/>
                <w:b w:val="0"/>
                <w:color w:val="000000"/>
                <w:kern w:val="0"/>
                <w:sz w:val="18"/>
                <w:szCs w:val="18"/>
              </w:rPr>
            </w:pPr>
            <w:r>
              <w:rPr>
                <w:rFonts w:hint="eastAsia" w:ascii="黑体" w:hAnsi="黑体" w:eastAsia="黑体"/>
                <w:b w:val="0"/>
                <w:color w:val="000000"/>
                <w:sz w:val="18"/>
                <w:szCs w:val="18"/>
              </w:rPr>
              <w:t>注：</w:t>
            </w:r>
            <w:r>
              <w:rPr>
                <w:rFonts w:hint="eastAsia" w:ascii="宋体" w:hAnsi="宋体" w:eastAsia="宋体"/>
                <w:b w:val="0"/>
                <w:color w:val="000000"/>
                <w:sz w:val="18"/>
                <w:szCs w:val="18"/>
              </w:rPr>
              <w:t>区域内所有涉及地貌类型包括冲湖积平原、高亢平原及黄土岗地。</w:t>
            </w:r>
          </w:p>
        </w:tc>
      </w:tr>
    </w:tbl>
    <w:p>
      <w:pPr>
        <w:pStyle w:val="9"/>
        <w:rPr>
          <w:rFonts w:eastAsia="黑体"/>
          <w:b w:val="0"/>
          <w:bCs/>
          <w:color w:val="000000"/>
          <w:sz w:val="21"/>
          <w:szCs w:val="21"/>
        </w:rPr>
      </w:pPr>
      <w:r>
        <w:br w:type="page"/>
      </w:r>
      <w:r>
        <w:rPr>
          <w:rFonts w:ascii="黑体" w:hAnsi="黑体" w:eastAsia="黑体"/>
          <w:b w:val="0"/>
          <w:bCs/>
          <w:color w:val="000000"/>
          <w:sz w:val="21"/>
          <w:szCs w:val="21"/>
        </w:rPr>
        <w:t>表</w:t>
      </w:r>
      <w:r>
        <w:rPr>
          <w:rFonts w:hint="eastAsia" w:ascii="黑体" w:hAnsi="黑体" w:eastAsia="黑体"/>
          <w:b w:val="0"/>
          <w:bCs/>
          <w:color w:val="000000"/>
          <w:sz w:val="21"/>
          <w:szCs w:val="21"/>
        </w:rPr>
        <w:t>B.10</w:t>
      </w:r>
      <w:r>
        <w:rPr>
          <w:rFonts w:ascii="黑体" w:hAnsi="黑体" w:eastAsia="黑体"/>
          <w:b w:val="0"/>
          <w:bCs/>
          <w:color w:val="000000"/>
          <w:sz w:val="21"/>
          <w:szCs w:val="21"/>
        </w:rPr>
        <w:t xml:space="preserve"> </w:t>
      </w:r>
      <w:r>
        <w:rPr>
          <w:rFonts w:eastAsia="黑体"/>
          <w:b w:val="0"/>
          <w:bCs/>
          <w:color w:val="000000"/>
          <w:sz w:val="21"/>
          <w:szCs w:val="21"/>
        </w:rPr>
        <w:t xml:space="preserve"> </w:t>
      </w:r>
      <w:r>
        <w:rPr>
          <w:rFonts w:hint="eastAsia" w:eastAsia="黑体"/>
          <w:b w:val="0"/>
          <w:bCs/>
          <w:color w:val="000000"/>
          <w:sz w:val="21"/>
          <w:szCs w:val="21"/>
        </w:rPr>
        <w:t>虎丘区（高新</w:t>
      </w:r>
      <w:r>
        <w:rPr>
          <w:rFonts w:eastAsia="黑体"/>
          <w:b w:val="0"/>
          <w:bCs/>
          <w:color w:val="000000"/>
          <w:sz w:val="21"/>
          <w:szCs w:val="21"/>
        </w:rPr>
        <w:t>区</w:t>
      </w:r>
      <w:r>
        <w:rPr>
          <w:rFonts w:hint="eastAsia" w:eastAsia="黑体"/>
          <w:b w:val="0"/>
          <w:bCs/>
          <w:color w:val="000000"/>
          <w:sz w:val="21"/>
          <w:szCs w:val="21"/>
        </w:rPr>
        <w:t>）土壤环境</w:t>
      </w:r>
      <w:r>
        <w:rPr>
          <w:rFonts w:eastAsia="黑体"/>
          <w:b w:val="0"/>
          <w:bCs/>
          <w:color w:val="000000"/>
          <w:sz w:val="21"/>
          <w:szCs w:val="21"/>
        </w:rPr>
        <w:t>背景含量的基本统计量</w:t>
      </w:r>
    </w:p>
    <w:p>
      <w:pPr>
        <w:jc w:val="right"/>
        <w:rPr>
          <w:rFonts w:ascii="宋体" w:hAnsi="宋体"/>
          <w:sz w:val="18"/>
          <w:szCs w:val="18"/>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Layout w:type="fixed"/>
        <w:tblCellMar>
          <w:top w:w="0" w:type="dxa"/>
          <w:left w:w="108" w:type="dxa"/>
          <w:bottom w:w="0" w:type="dxa"/>
          <w:right w:w="108" w:type="dxa"/>
        </w:tblCellMar>
      </w:tblPr>
      <w:tblGrid>
        <w:gridCol w:w="885"/>
        <w:gridCol w:w="2631"/>
        <w:gridCol w:w="960"/>
        <w:gridCol w:w="696"/>
        <w:gridCol w:w="696"/>
        <w:gridCol w:w="699"/>
        <w:gridCol w:w="696"/>
        <w:gridCol w:w="699"/>
        <w:gridCol w:w="696"/>
        <w:gridCol w:w="699"/>
        <w:gridCol w:w="856"/>
        <w:gridCol w:w="693"/>
        <w:gridCol w:w="690"/>
        <w:gridCol w:w="690"/>
        <w:gridCol w:w="583"/>
        <w:gridCol w:w="705"/>
        <w:gridCol w:w="929"/>
      </w:tblGrid>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vMerge w:val="restart"/>
            <w:tcBorders>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元素</w:t>
            </w:r>
          </w:p>
        </w:tc>
        <w:tc>
          <w:tcPr>
            <w:tcW w:w="2631"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地貌类型</w:t>
            </w:r>
          </w:p>
        </w:tc>
        <w:tc>
          <w:tcPr>
            <w:tcW w:w="6697" w:type="dxa"/>
            <w:gridSpan w:val="9"/>
            <w:tcBorders>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顺序统计量（分位值）</w:t>
            </w:r>
          </w:p>
        </w:tc>
        <w:tc>
          <w:tcPr>
            <w:tcW w:w="693"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690"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S</w:t>
            </w:r>
          </w:p>
        </w:tc>
        <w:tc>
          <w:tcPr>
            <w:tcW w:w="690"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M</w:t>
            </w:r>
          </w:p>
        </w:tc>
        <w:tc>
          <w:tcPr>
            <w:tcW w:w="583" w:type="dxa"/>
            <w:vMerge w:val="restart"/>
            <w:tcBorders>
              <w:left w:val="single" w:color="auto" w:sz="4" w:space="0"/>
              <w:bottom w:val="single" w:color="auto" w:sz="4" w:space="0"/>
              <w:right w:val="single" w:color="auto" w:sz="4" w:space="0"/>
            </w:tcBorders>
            <w:noWrap/>
            <w:vAlign w:val="center"/>
          </w:tcPr>
          <w:p>
            <w:pPr>
              <w:widowControl/>
              <w:jc w:val="center"/>
              <w:rPr>
                <w:rFonts w:ascii="宋体" w:hAnsi="宋体" w:eastAsia="宋体"/>
                <w:i/>
                <w:iCs/>
                <w:kern w:val="0"/>
                <w:sz w:val="18"/>
                <w:szCs w:val="18"/>
              </w:rPr>
            </w:pPr>
            <w:r>
              <w:rPr>
                <w:rFonts w:hint="eastAsia" w:ascii="宋体" w:hAnsi="宋体" w:cs="宋体"/>
                <w:i/>
                <w:iCs/>
                <w:color w:val="000000"/>
                <w:kern w:val="0"/>
                <w:sz w:val="18"/>
                <w:szCs w:val="18"/>
              </w:rPr>
              <w:t>D</w:t>
            </w:r>
          </w:p>
        </w:tc>
        <w:tc>
          <w:tcPr>
            <w:tcW w:w="705" w:type="dxa"/>
            <w:vMerge w:val="restart"/>
            <w:tcBorders>
              <w:left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数据分布</w:t>
            </w:r>
          </w:p>
        </w:tc>
        <w:tc>
          <w:tcPr>
            <w:tcW w:w="929" w:type="dxa"/>
            <w:vMerge w:val="restart"/>
            <w:tcBorders>
              <w:lef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jc w:val="center"/>
              <w:rPr>
                <w:rFonts w:ascii="宋体" w:hAnsi="宋体"/>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vMerge w:val="continue"/>
            <w:tcBorders>
              <w:top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263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olor w:val="000000"/>
                <w:kern w:val="0"/>
                <w:sz w:val="18"/>
                <w:szCs w:val="18"/>
              </w:rPr>
            </w:pP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最小值</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10%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25%</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50%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75%</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 xml:space="preserve">90% </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ascii="宋体" w:hAnsi="宋体" w:eastAsia="宋体"/>
                <w:kern w:val="0"/>
                <w:sz w:val="18"/>
                <w:szCs w:val="18"/>
              </w:rPr>
              <w:t xml:space="preserve">95% </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kern w:val="0"/>
                <w:sz w:val="18"/>
                <w:szCs w:val="18"/>
              </w:rPr>
            </w:pPr>
            <w:r>
              <w:rPr>
                <w:rFonts w:hint="eastAsia" w:ascii="宋体" w:hAnsi="宋体"/>
                <w:kern w:val="0"/>
                <w:sz w:val="18"/>
                <w:szCs w:val="18"/>
              </w:rPr>
              <w:t>最大值</w:t>
            </w:r>
          </w:p>
        </w:tc>
        <w:tc>
          <w:tcPr>
            <w:tcW w:w="6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69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58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705"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kern w:val="0"/>
                <w:sz w:val="18"/>
                <w:szCs w:val="18"/>
              </w:rPr>
            </w:pPr>
          </w:p>
        </w:tc>
        <w:tc>
          <w:tcPr>
            <w:tcW w:w="929" w:type="dxa"/>
            <w:vMerge w:val="continue"/>
            <w:tcBorders>
              <w:left w:val="single" w:color="auto" w:sz="4" w:space="0"/>
              <w:bottom w:val="single" w:color="auto" w:sz="4" w:space="0"/>
            </w:tcBorders>
          </w:tcPr>
          <w:p>
            <w:pPr>
              <w:widowControl/>
              <w:jc w:val="center"/>
              <w:rPr>
                <w:rFonts w:ascii="宋体" w:hAnsi="宋体" w:eastAsia="宋体"/>
                <w:kern w:val="0"/>
                <w:sz w:val="18"/>
                <w:szCs w:val="18"/>
              </w:rPr>
            </w:pP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镉</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0.11</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0.15</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0.28</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1.08</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1.43</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0.29</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汞</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0.02</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0.08</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0.17</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0.29</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0.37</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0.42</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2.02</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0.12</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0.22</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1.65</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0.42</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砷</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5.93</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7.27</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7.69</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8.61</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9.66</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10.30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11.80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12.55</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17.90</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9.69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9.53</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12.55</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76"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铅</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19.60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29.54</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32.06</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38.10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43.50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51.05</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63.00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66.37</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171.0</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46.13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16.21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44.16</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1.33</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66.37</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铬</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46.10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54.85</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61.28</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70.43</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76.25</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81.58</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87.84</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90.72</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117.0</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75.48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10.80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74.67</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1.16</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90.72</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铜</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15.20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24.67</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26.96</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31.90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35.90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40.65</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47.10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49.38</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58.70</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36.36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7.79</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35.51</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1.25</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49.38</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锌</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35.20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61.00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65.80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75.00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81.90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92.20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109.5</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123.0</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138.0</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85.04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18.08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83.18</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123.0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镍</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18.80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21.46</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23.84</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28.20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32.10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34.90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37.85</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39.32</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44.80</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31.63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5.27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31.17</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1.19</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39.32</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钴</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6.93</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9.07</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10.10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11.70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13.80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14.40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14.90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15.18</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21.60</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13.07</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2.23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12.87</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1.20</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15.18</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钒</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30.10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42.80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51.82</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83.70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94.90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101.0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105.0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106.6</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124.0</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88.98</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19.76</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85.98</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1.34</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106.6</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锰</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168.0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356.4</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389.4</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450.0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507.0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587.0</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658.3</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713.0</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1069</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522.1</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113.4</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510.1</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1.24</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713.0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885" w:type="dxa"/>
            <w:tcBorders>
              <w:top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hint="eastAsia" w:ascii="宋体" w:hAnsi="宋体"/>
                <w:color w:val="000000"/>
                <w:kern w:val="0"/>
                <w:sz w:val="18"/>
                <w:szCs w:val="18"/>
              </w:rPr>
              <w:t>硒</w:t>
            </w:r>
          </w:p>
        </w:tc>
        <w:tc>
          <w:tcPr>
            <w:tcW w:w="2631" w:type="dxa"/>
            <w:tcBorders>
              <w:top w:val="nil"/>
              <w:left w:val="nil"/>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sz w:val="18"/>
                <w:szCs w:val="18"/>
              </w:rPr>
              <w:t>区域内所有涉及地貌类型</w:t>
            </w:r>
          </w:p>
        </w:tc>
        <w:tc>
          <w:tcPr>
            <w:tcW w:w="96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0.19</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0.25</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0.32</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0.40</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0.47</w:t>
            </w:r>
          </w:p>
        </w:tc>
        <w:tc>
          <w:tcPr>
            <w:tcW w:w="69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0.56</w:t>
            </w:r>
          </w:p>
        </w:tc>
        <w:tc>
          <w:tcPr>
            <w:tcW w:w="699"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0.70</w:t>
            </w:r>
          </w:p>
        </w:tc>
        <w:tc>
          <w:tcPr>
            <w:tcW w:w="856"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1.60</w:t>
            </w:r>
          </w:p>
        </w:tc>
        <w:tc>
          <w:tcPr>
            <w:tcW w:w="69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0.43</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0.20</w:t>
            </w:r>
          </w:p>
        </w:tc>
        <w:tc>
          <w:tcPr>
            <w:tcW w:w="690"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0.41</w:t>
            </w:r>
          </w:p>
        </w:tc>
        <w:tc>
          <w:tcPr>
            <w:tcW w:w="583" w:type="dxa"/>
            <w:tcBorders>
              <w:top w:val="nil"/>
              <w:left w:val="nil"/>
              <w:bottom w:val="single" w:color="auto" w:sz="4" w:space="0"/>
              <w:right w:val="single" w:color="auto" w:sz="4" w:space="0"/>
            </w:tcBorders>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1.41</w:t>
            </w:r>
          </w:p>
        </w:tc>
        <w:tc>
          <w:tcPr>
            <w:tcW w:w="705" w:type="dxa"/>
            <w:tcBorders>
              <w:top w:val="nil"/>
              <w:left w:val="nil"/>
              <w:bottom w:val="single" w:color="auto" w:sz="4" w:space="0"/>
              <w:right w:val="single" w:color="auto" w:sz="4" w:space="0"/>
            </w:tcBorders>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偏态</w:t>
            </w:r>
          </w:p>
        </w:tc>
        <w:tc>
          <w:tcPr>
            <w:tcW w:w="929" w:type="dxa"/>
            <w:tcBorders>
              <w:top w:val="nil"/>
              <w:left w:val="nil"/>
              <w:bottom w:val="single" w:color="auto" w:sz="4" w:space="0"/>
            </w:tcBorders>
            <w:vAlign w:val="center"/>
          </w:tcPr>
          <w:p>
            <w:pPr>
              <w:widowControl/>
              <w:jc w:val="center"/>
              <w:rPr>
                <w:rFonts w:ascii="宋体" w:hAnsi="宋体"/>
                <w:color w:val="000000"/>
                <w:kern w:val="0"/>
                <w:sz w:val="18"/>
                <w:szCs w:val="18"/>
              </w:rPr>
            </w:pPr>
            <w:r>
              <w:rPr>
                <w:rFonts w:ascii="宋体" w:hAnsi="宋体" w:eastAsia="宋体"/>
                <w:color w:val="000000"/>
                <w:kern w:val="0"/>
                <w:sz w:val="18"/>
                <w:szCs w:val="18"/>
              </w:rPr>
              <w:t>0.70</w:t>
            </w:r>
          </w:p>
        </w:tc>
      </w:tr>
      <w:tr>
        <w:tblPrEx>
          <w:tblBorders>
            <w:top w:val="single" w:color="000000" w:sz="12" w:space="0"/>
            <w:left w:val="single" w:color="000000" w:sz="12" w:space="0"/>
            <w:bottom w:val="single" w:color="000000" w:sz="12" w:space="0"/>
            <w:right w:val="single" w:color="000000" w:sz="12" w:space="0"/>
            <w:insideH w:val="none" w:color="auto" w:sz="4" w:space="0"/>
            <w:insideV w:val="none" w:color="auto" w:sz="4" w:space="0"/>
          </w:tblBorders>
          <w:tblCellMar>
            <w:top w:w="0" w:type="dxa"/>
            <w:left w:w="108" w:type="dxa"/>
            <w:bottom w:w="0" w:type="dxa"/>
            <w:right w:w="108" w:type="dxa"/>
          </w:tblCellMar>
        </w:tblPrEx>
        <w:trPr>
          <w:trHeight w:val="288" w:hRule="atLeast"/>
        </w:trPr>
        <w:tc>
          <w:tcPr>
            <w:tcW w:w="14503" w:type="dxa"/>
            <w:gridSpan w:val="17"/>
            <w:tcBorders>
              <w:top w:val="single" w:color="auto" w:sz="4" w:space="0"/>
            </w:tcBorders>
            <w:noWrap/>
            <w:vAlign w:val="center"/>
          </w:tcPr>
          <w:p>
            <w:pPr>
              <w:widowControl/>
              <w:jc w:val="left"/>
              <w:rPr>
                <w:rFonts w:ascii="宋体" w:hAnsi="宋体" w:eastAsia="宋体"/>
                <w:color w:val="000000"/>
                <w:kern w:val="0"/>
                <w:sz w:val="18"/>
                <w:szCs w:val="18"/>
              </w:rPr>
            </w:pPr>
            <w:r>
              <w:rPr>
                <w:rFonts w:hint="eastAsia" w:ascii="黑体" w:hAnsi="黑体" w:eastAsia="黑体"/>
                <w:color w:val="000000"/>
                <w:sz w:val="18"/>
                <w:szCs w:val="18"/>
              </w:rPr>
              <w:t>注：</w:t>
            </w:r>
            <w:r>
              <w:rPr>
                <w:rFonts w:hint="eastAsia" w:ascii="宋体" w:hAnsi="宋体"/>
                <w:color w:val="000000"/>
                <w:sz w:val="18"/>
                <w:szCs w:val="18"/>
              </w:rPr>
              <w:t>区域内所有涉及地貌类型包括丘陵、高亢平原及黄土岗地。</w:t>
            </w:r>
          </w:p>
        </w:tc>
      </w:tr>
    </w:tbl>
    <w:p>
      <w:pPr>
        <w:pStyle w:val="9"/>
        <w:tabs>
          <w:tab w:val="left" w:pos="1995"/>
        </w:tabs>
        <w:spacing w:before="0" w:beforeLines="0" w:after="0" w:afterLines="0"/>
        <w:rPr>
          <w:rFonts w:eastAsia="黑体"/>
          <w:b w:val="0"/>
          <w:bCs/>
          <w:color w:val="000000"/>
          <w:sz w:val="21"/>
          <w:szCs w:val="21"/>
        </w:rPr>
        <w:sectPr>
          <w:pgSz w:w="16839" w:h="11907" w:orient="landscape"/>
          <w:pgMar w:top="1418" w:right="1134" w:bottom="1134" w:left="1417" w:header="1417" w:footer="1134" w:gutter="0"/>
          <w:cols w:space="720" w:num="1"/>
          <w:docGrid w:type="lines" w:linePitch="312" w:charSpace="0"/>
        </w:sectPr>
      </w:pPr>
    </w:p>
    <w:p>
      <w:pPr>
        <w:pStyle w:val="9"/>
        <w:tabs>
          <w:tab w:val="left" w:pos="1995"/>
        </w:tabs>
        <w:spacing w:before="0" w:beforeLines="0" w:after="0" w:afterLines="0"/>
        <w:rPr>
          <w:rFonts w:eastAsia="黑体"/>
          <w:b w:val="0"/>
          <w:bCs/>
          <w:color w:val="000000"/>
          <w:sz w:val="21"/>
          <w:szCs w:val="21"/>
        </w:rPr>
      </w:pPr>
    </w:p>
    <w:p>
      <w:pPr>
        <w:pStyle w:val="9"/>
        <w:tabs>
          <w:tab w:val="left" w:pos="1995"/>
        </w:tabs>
        <w:rPr>
          <w:rFonts w:eastAsia="黑体"/>
          <w:b w:val="0"/>
          <w:bCs/>
          <w:color w:val="000000"/>
          <w:sz w:val="21"/>
          <w:szCs w:val="21"/>
        </w:rPr>
      </w:pPr>
      <w:r>
        <w:rPr>
          <w:rFonts w:ascii="黑体" w:hAnsi="黑体" w:eastAsia="黑体"/>
          <w:b w:val="0"/>
          <w:bCs/>
          <w:color w:val="000000"/>
          <w:sz w:val="21"/>
          <w:szCs w:val="21"/>
        </w:rPr>
        <w:t>表</w:t>
      </w:r>
      <w:r>
        <w:rPr>
          <w:rFonts w:hint="eastAsia" w:ascii="黑体" w:hAnsi="黑体" w:eastAsia="黑体"/>
          <w:b w:val="0"/>
          <w:bCs/>
          <w:color w:val="000000"/>
          <w:sz w:val="21"/>
          <w:szCs w:val="21"/>
        </w:rPr>
        <w:t>B.11</w:t>
      </w:r>
      <w:r>
        <w:rPr>
          <w:rFonts w:eastAsia="黑体"/>
          <w:b w:val="0"/>
          <w:bCs/>
          <w:color w:val="000000"/>
          <w:sz w:val="21"/>
          <w:szCs w:val="21"/>
        </w:rPr>
        <w:t xml:space="preserve">  </w:t>
      </w:r>
      <w:r>
        <w:rPr>
          <w:rFonts w:hint="eastAsia" w:eastAsia="黑体"/>
          <w:b w:val="0"/>
          <w:bCs/>
          <w:color w:val="000000"/>
          <w:sz w:val="21"/>
          <w:szCs w:val="21"/>
        </w:rPr>
        <w:t>苏州市土壤环境</w:t>
      </w:r>
      <w:r>
        <w:rPr>
          <w:rFonts w:eastAsia="黑体"/>
          <w:b w:val="0"/>
          <w:bCs/>
          <w:color w:val="000000"/>
          <w:sz w:val="21"/>
          <w:szCs w:val="21"/>
        </w:rPr>
        <w:t>背景含量的基本统计量</w:t>
      </w:r>
    </w:p>
    <w:p>
      <w:pPr>
        <w:jc w:val="right"/>
        <w:rPr>
          <w:rFonts w:ascii="宋体" w:hAnsi="宋体"/>
          <w:sz w:val="18"/>
          <w:szCs w:val="21"/>
        </w:rPr>
      </w:pPr>
      <w:r>
        <w:rPr>
          <w:rFonts w:hint="eastAsia" w:ascii="宋体" w:hAnsi="宋体" w:eastAsia="宋体"/>
          <w:color w:val="000000"/>
          <w:sz w:val="18"/>
          <w:szCs w:val="18"/>
        </w:rPr>
        <w:t>单位：mg/kg</w:t>
      </w:r>
    </w:p>
    <w:tbl>
      <w:tblPr>
        <w:tblStyle w:val="33"/>
        <w:tblW w:w="14503"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50"/>
        <w:gridCol w:w="963"/>
        <w:gridCol w:w="989"/>
        <w:gridCol w:w="995"/>
        <w:gridCol w:w="995"/>
        <w:gridCol w:w="850"/>
        <w:gridCol w:w="992"/>
        <w:gridCol w:w="992"/>
        <w:gridCol w:w="1134"/>
        <w:gridCol w:w="850"/>
        <w:gridCol w:w="850"/>
        <w:gridCol w:w="850"/>
        <w:gridCol w:w="711"/>
        <w:gridCol w:w="708"/>
        <w:gridCol w:w="107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vMerge w:val="restart"/>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元素</w:t>
            </w:r>
          </w:p>
        </w:tc>
        <w:tc>
          <w:tcPr>
            <w:tcW w:w="8760" w:type="dxa"/>
            <w:gridSpan w:val="9"/>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顺序统计量（分位值）</w:t>
            </w:r>
          </w:p>
        </w:tc>
        <w:tc>
          <w:tcPr>
            <w:tcW w:w="850" w:type="dxa"/>
            <w:vMerge w:val="restart"/>
            <w:noWrap/>
            <w:vAlign w:val="center"/>
          </w:tcPr>
          <w:p>
            <w:pPr>
              <w:widowControl/>
              <w:jc w:val="center"/>
              <w:rPr>
                <w:rFonts w:ascii="宋体" w:hAnsi="宋体" w:cs="宋体"/>
                <w:color w:val="000000"/>
                <w:kern w:val="0"/>
                <w:sz w:val="18"/>
                <w:szCs w:val="18"/>
              </w:rPr>
            </w:pPr>
            <m:oMathPara>
              <m:oMath>
                <m:acc>
                  <m:accPr>
                    <m:chr m:val="̅"/>
                    <m:ctrlPr>
                      <w:rPr>
                        <w:rFonts w:ascii="Cambria Math" w:hAnsi="Cambria Math"/>
                        <w:i/>
                        <w:color w:val="000000"/>
                      </w:rPr>
                    </m:ctrlPr>
                  </m:accPr>
                  <m:e>
                    <m:r>
                      <m:rPr/>
                      <w:rPr>
                        <w:rFonts w:ascii="Cambria Math"/>
                        <w:color w:val="000000"/>
                      </w:rPr>
                      <m:t>x</m:t>
                    </m:r>
                    <m:ctrlPr>
                      <w:rPr>
                        <w:rFonts w:ascii="Cambria Math" w:hAnsi="Cambria Math"/>
                        <w:i/>
                        <w:color w:val="000000"/>
                      </w:rPr>
                    </m:ctrlPr>
                  </m:e>
                </m:acc>
              </m:oMath>
            </m:oMathPara>
          </w:p>
        </w:tc>
        <w:tc>
          <w:tcPr>
            <w:tcW w:w="850" w:type="dxa"/>
            <w:vMerge w:val="restart"/>
            <w:noWrap/>
            <w:vAlign w:val="center"/>
          </w:tcPr>
          <w:p>
            <w:pPr>
              <w:widowControl/>
              <w:jc w:val="center"/>
              <w:rPr>
                <w:rFonts w:ascii="宋体" w:hAnsi="宋体" w:cs="宋体"/>
                <w:i/>
                <w:iCs/>
                <w:color w:val="000000"/>
                <w:kern w:val="0"/>
                <w:sz w:val="18"/>
                <w:szCs w:val="18"/>
              </w:rPr>
            </w:pPr>
            <w:r>
              <w:rPr>
                <w:rFonts w:hint="eastAsia" w:ascii="宋体" w:hAnsi="宋体" w:cs="宋体"/>
                <w:i/>
                <w:iCs/>
                <w:color w:val="000000"/>
                <w:kern w:val="0"/>
                <w:sz w:val="18"/>
                <w:szCs w:val="18"/>
              </w:rPr>
              <w:t>S</w:t>
            </w:r>
          </w:p>
        </w:tc>
        <w:tc>
          <w:tcPr>
            <w:tcW w:w="850" w:type="dxa"/>
            <w:vMerge w:val="restart"/>
            <w:noWrap/>
            <w:vAlign w:val="center"/>
          </w:tcPr>
          <w:p>
            <w:pPr>
              <w:widowControl/>
              <w:jc w:val="center"/>
              <w:rPr>
                <w:rFonts w:ascii="宋体" w:hAnsi="宋体" w:cs="宋体"/>
                <w:i/>
                <w:iCs/>
                <w:color w:val="000000"/>
                <w:kern w:val="0"/>
                <w:sz w:val="18"/>
                <w:szCs w:val="18"/>
              </w:rPr>
            </w:pPr>
            <w:r>
              <w:rPr>
                <w:rFonts w:hint="eastAsia" w:ascii="宋体" w:hAnsi="宋体" w:cs="宋体"/>
                <w:i/>
                <w:iCs/>
                <w:color w:val="000000"/>
                <w:kern w:val="0"/>
                <w:sz w:val="18"/>
                <w:szCs w:val="18"/>
              </w:rPr>
              <w:t>M</w:t>
            </w:r>
          </w:p>
        </w:tc>
        <w:tc>
          <w:tcPr>
            <w:tcW w:w="711" w:type="dxa"/>
            <w:vMerge w:val="restart"/>
            <w:noWrap/>
            <w:vAlign w:val="center"/>
          </w:tcPr>
          <w:p>
            <w:pPr>
              <w:widowControl/>
              <w:jc w:val="center"/>
              <w:rPr>
                <w:rFonts w:ascii="宋体" w:hAnsi="宋体" w:cs="宋体"/>
                <w:i/>
                <w:iCs/>
                <w:color w:val="000000"/>
                <w:kern w:val="0"/>
                <w:sz w:val="18"/>
                <w:szCs w:val="18"/>
              </w:rPr>
            </w:pPr>
            <w:r>
              <w:rPr>
                <w:rFonts w:hint="eastAsia" w:ascii="宋体" w:hAnsi="宋体" w:cs="宋体"/>
                <w:i/>
                <w:iCs/>
                <w:color w:val="000000"/>
                <w:kern w:val="0"/>
                <w:sz w:val="18"/>
                <w:szCs w:val="18"/>
              </w:rPr>
              <w:t>D</w:t>
            </w:r>
          </w:p>
        </w:tc>
        <w:tc>
          <w:tcPr>
            <w:tcW w:w="708" w:type="dxa"/>
            <w:vMerge w:val="restart"/>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数据分布</w:t>
            </w:r>
          </w:p>
        </w:tc>
        <w:tc>
          <w:tcPr>
            <w:tcW w:w="1070" w:type="dxa"/>
            <w:vMerge w:val="restart"/>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环境</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背景值</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vMerge w:val="continue"/>
            <w:vAlign w:val="center"/>
          </w:tcPr>
          <w:p>
            <w:pPr>
              <w:widowControl/>
              <w:jc w:val="left"/>
              <w:rPr>
                <w:rFonts w:ascii="宋体" w:hAnsi="宋体" w:cs="宋体"/>
                <w:color w:val="000000"/>
                <w:kern w:val="0"/>
                <w:sz w:val="18"/>
                <w:szCs w:val="18"/>
              </w:rPr>
            </w:pPr>
          </w:p>
        </w:tc>
        <w:tc>
          <w:tcPr>
            <w:tcW w:w="850"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最小值</w:t>
            </w:r>
          </w:p>
        </w:tc>
        <w:tc>
          <w:tcPr>
            <w:tcW w:w="963"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w:t>
            </w:r>
          </w:p>
        </w:tc>
        <w:tc>
          <w:tcPr>
            <w:tcW w:w="989"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10%</w:t>
            </w:r>
          </w:p>
        </w:tc>
        <w:tc>
          <w:tcPr>
            <w:tcW w:w="995"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25%</w:t>
            </w:r>
          </w:p>
        </w:tc>
        <w:tc>
          <w:tcPr>
            <w:tcW w:w="995"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50%</w:t>
            </w:r>
          </w:p>
        </w:tc>
        <w:tc>
          <w:tcPr>
            <w:tcW w:w="850"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75%</w:t>
            </w:r>
          </w:p>
        </w:tc>
        <w:tc>
          <w:tcPr>
            <w:tcW w:w="992"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90%</w:t>
            </w:r>
          </w:p>
        </w:tc>
        <w:tc>
          <w:tcPr>
            <w:tcW w:w="992" w:type="dxa"/>
            <w:noWrap/>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95%</w:t>
            </w:r>
          </w:p>
        </w:tc>
        <w:tc>
          <w:tcPr>
            <w:tcW w:w="113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最大值</w:t>
            </w:r>
          </w:p>
        </w:tc>
        <w:tc>
          <w:tcPr>
            <w:tcW w:w="850" w:type="dxa"/>
            <w:vMerge w:val="continue"/>
            <w:vAlign w:val="center"/>
          </w:tcPr>
          <w:p>
            <w:pPr>
              <w:widowControl/>
              <w:jc w:val="left"/>
              <w:rPr>
                <w:rFonts w:ascii="宋体" w:hAnsi="宋体" w:cs="宋体"/>
                <w:color w:val="000000"/>
                <w:kern w:val="0"/>
                <w:sz w:val="18"/>
                <w:szCs w:val="18"/>
              </w:rPr>
            </w:pPr>
          </w:p>
        </w:tc>
        <w:tc>
          <w:tcPr>
            <w:tcW w:w="850" w:type="dxa"/>
            <w:vMerge w:val="continue"/>
            <w:vAlign w:val="center"/>
          </w:tcPr>
          <w:p>
            <w:pPr>
              <w:widowControl/>
              <w:jc w:val="left"/>
              <w:rPr>
                <w:rFonts w:ascii="宋体" w:hAnsi="宋体" w:cs="宋体"/>
                <w:color w:val="000000"/>
                <w:kern w:val="0"/>
                <w:sz w:val="18"/>
                <w:szCs w:val="18"/>
              </w:rPr>
            </w:pPr>
          </w:p>
        </w:tc>
        <w:tc>
          <w:tcPr>
            <w:tcW w:w="850" w:type="dxa"/>
            <w:vMerge w:val="continue"/>
            <w:vAlign w:val="center"/>
          </w:tcPr>
          <w:p>
            <w:pPr>
              <w:widowControl/>
              <w:jc w:val="left"/>
              <w:rPr>
                <w:rFonts w:ascii="宋体" w:hAnsi="宋体" w:cs="宋体"/>
                <w:color w:val="000000"/>
                <w:kern w:val="0"/>
                <w:sz w:val="18"/>
                <w:szCs w:val="18"/>
              </w:rPr>
            </w:pPr>
          </w:p>
        </w:tc>
        <w:tc>
          <w:tcPr>
            <w:tcW w:w="711" w:type="dxa"/>
            <w:vMerge w:val="continue"/>
            <w:vAlign w:val="center"/>
          </w:tcPr>
          <w:p>
            <w:pPr>
              <w:widowControl/>
              <w:jc w:val="left"/>
              <w:rPr>
                <w:rFonts w:ascii="宋体" w:hAnsi="宋体" w:cs="宋体"/>
                <w:color w:val="000000"/>
                <w:kern w:val="0"/>
                <w:sz w:val="18"/>
                <w:szCs w:val="18"/>
              </w:rPr>
            </w:pPr>
          </w:p>
        </w:tc>
        <w:tc>
          <w:tcPr>
            <w:tcW w:w="708" w:type="dxa"/>
            <w:vMerge w:val="continue"/>
            <w:vAlign w:val="center"/>
          </w:tcPr>
          <w:p>
            <w:pPr>
              <w:widowControl/>
              <w:jc w:val="left"/>
              <w:rPr>
                <w:rFonts w:ascii="宋体" w:hAnsi="宋体" w:cs="宋体"/>
                <w:color w:val="000000"/>
                <w:kern w:val="0"/>
                <w:sz w:val="18"/>
                <w:szCs w:val="18"/>
              </w:rPr>
            </w:pPr>
          </w:p>
        </w:tc>
        <w:tc>
          <w:tcPr>
            <w:tcW w:w="1070" w:type="dxa"/>
            <w:vMerge w:val="continue"/>
            <w:vAlign w:val="center"/>
          </w:tcPr>
          <w:p>
            <w:pPr>
              <w:widowControl/>
              <w:jc w:val="left"/>
              <w:rPr>
                <w:rFonts w:ascii="宋体" w:hAnsi="宋体" w:cs="宋体"/>
                <w:color w:val="000000"/>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镉</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0.00</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0.11</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0.12</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0.14</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0.18</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0.22</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0.28</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0.31</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1.31</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0.19</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0.07</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0.18</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1.40</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0.23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汞</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0.02</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0.07</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0.09</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0.13</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0.19</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0.26</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0.33</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0.38</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2.02</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0.20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0.11</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0.18</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1.69</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0.39</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砷</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0.53</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5.79</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6.26</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7.20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8.50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9.99</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11.40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12.30</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32.50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8.70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2.08</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8.45</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1.28</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16.32</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铅</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2.64</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22.90</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24.80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27.80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31.10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34.90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41.40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47.20</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171.0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32.37</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7.93</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31.56</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1.25</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38.81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铬</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23.03</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60.29</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65.70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72.85</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79.90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85.60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90.90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94.40</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117.0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78.86</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10.59</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78.07</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1.16</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93.06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铜</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0.05</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22.20</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24.30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27.30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31.00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35.40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40.90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45.30</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62.20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31.87</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7.07</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31.00</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1.33</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45.16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锌</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23.70</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62.00</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68.60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78.78</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88.70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99.70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112.0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121.0</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166.0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89.72</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17.77</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87.92</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1.23</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123.0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镍</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9.78</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24.30</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27.80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31.70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35.20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38.30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41.00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42.70</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53.80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34.70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5.51</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34.21</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1.19</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42.16</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钴</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2.94</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10.00</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11.20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12.90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14.10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15.20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16.10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16.80</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22.30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13.89</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2.09</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13.71</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1.19</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16.2</w:t>
            </w:r>
            <w:r>
              <w:rPr>
                <w:rFonts w:hint="eastAsia" w:ascii="宋体" w:hAnsi="宋体" w:eastAsia="宋体"/>
                <w:color w:val="000000"/>
                <w:kern w:val="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钒</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17.10</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44.82</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65.29</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89.00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98.80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105.0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110.0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113.0</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141.0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93.13</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19.25</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90.27</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1.32</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112.0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锰</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168.0</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320.5</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365.3</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470.0</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553.5</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638.0</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718.4</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793.</w:t>
            </w:r>
            <w:r>
              <w:rPr>
                <w:rFonts w:hint="eastAsia" w:ascii="宋体" w:hAnsi="宋体"/>
                <w:color w:val="000000"/>
                <w:kern w:val="0"/>
                <w:sz w:val="18"/>
                <w:szCs w:val="18"/>
                <w:lang w:bidi="ar"/>
              </w:rPr>
              <w:t>9</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1210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553.08</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147.50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532.55</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1.33</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720.8</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硒</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0.01</w:t>
            </w:r>
          </w:p>
        </w:tc>
        <w:tc>
          <w:tcPr>
            <w:tcW w:w="963"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0.20</w:t>
            </w:r>
          </w:p>
        </w:tc>
        <w:tc>
          <w:tcPr>
            <w:tcW w:w="989"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0.22</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0.26</w:t>
            </w:r>
          </w:p>
        </w:tc>
        <w:tc>
          <w:tcPr>
            <w:tcW w:w="995"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0.30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0.34</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0.41</w:t>
            </w:r>
          </w:p>
        </w:tc>
        <w:tc>
          <w:tcPr>
            <w:tcW w:w="992"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0.46</w:t>
            </w:r>
          </w:p>
        </w:tc>
        <w:tc>
          <w:tcPr>
            <w:tcW w:w="1134"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1.60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0.31</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0.10</w:t>
            </w:r>
          </w:p>
        </w:tc>
        <w:tc>
          <w:tcPr>
            <w:tcW w:w="850"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0.29</w:t>
            </w:r>
          </w:p>
        </w:tc>
        <w:tc>
          <w:tcPr>
            <w:tcW w:w="711" w:type="dxa"/>
            <w:noWrap/>
            <w:vAlign w:val="center"/>
          </w:tcPr>
          <w:p>
            <w:pPr>
              <w:widowControl/>
              <w:spacing w:line="240" w:lineRule="atLeast"/>
              <w:jc w:val="center"/>
              <w:textAlignment w:val="bottom"/>
              <w:rPr>
                <w:rFonts w:ascii="宋体" w:hAnsi="宋体" w:eastAsia="宋体"/>
                <w:color w:val="000000"/>
                <w:kern w:val="0"/>
                <w:sz w:val="18"/>
                <w:szCs w:val="18"/>
              </w:rPr>
            </w:pPr>
            <w:r>
              <w:rPr>
                <w:rFonts w:ascii="宋体" w:hAnsi="宋体"/>
                <w:color w:val="000000"/>
                <w:kern w:val="0"/>
                <w:sz w:val="18"/>
                <w:szCs w:val="18"/>
                <w:lang w:bidi="ar"/>
              </w:rPr>
              <w:t>1.38</w:t>
            </w:r>
          </w:p>
        </w:tc>
        <w:tc>
          <w:tcPr>
            <w:tcW w:w="708"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偏态</w:t>
            </w:r>
          </w:p>
        </w:tc>
        <w:tc>
          <w:tcPr>
            <w:tcW w:w="1070" w:type="dxa"/>
            <w:vAlign w:val="center"/>
          </w:tcPr>
          <w:p>
            <w:pPr>
              <w:widowControl/>
              <w:jc w:val="center"/>
              <w:rPr>
                <w:rFonts w:ascii="宋体" w:hAnsi="宋体" w:eastAsia="宋体"/>
                <w:color w:val="000000"/>
                <w:kern w:val="0"/>
                <w:sz w:val="18"/>
                <w:szCs w:val="18"/>
              </w:rPr>
            </w:pPr>
            <w:r>
              <w:rPr>
                <w:rFonts w:ascii="宋体" w:hAnsi="宋体" w:eastAsia="宋体"/>
                <w:color w:val="000000"/>
                <w:kern w:val="0"/>
                <w:sz w:val="18"/>
                <w:szCs w:val="18"/>
              </w:rPr>
              <w:t>0.48</w:t>
            </w:r>
          </w:p>
        </w:tc>
      </w:tr>
    </w:tbl>
    <w:p>
      <w:pPr>
        <w:rPr>
          <w:rFonts w:ascii="Times New Roman" w:hAnsi="Times New Roman" w:eastAsia="宋体"/>
          <w:szCs w:val="24"/>
        </w:rPr>
      </w:pPr>
    </w:p>
    <w:p/>
    <w:p>
      <w:pPr>
        <w:sectPr>
          <w:footerReference r:id="rId21" w:type="default"/>
          <w:footerReference r:id="rId22" w:type="even"/>
          <w:pgSz w:w="16838" w:h="11906" w:orient="landscape"/>
          <w:pgMar w:top="1418" w:right="1134" w:bottom="1134" w:left="1417" w:header="1417" w:footer="1134" w:gutter="0"/>
          <w:cols w:space="425" w:num="1"/>
          <w:docGrid w:type="lines" w:linePitch="312" w:charSpace="0"/>
        </w:sectPr>
      </w:pPr>
    </w:p>
    <w:p>
      <w:pPr>
        <w:pStyle w:val="7"/>
        <w:adjustRightInd w:val="0"/>
        <w:snapToGrid w:val="0"/>
        <w:spacing w:before="567"/>
        <w:ind w:firstLine="0"/>
        <w:jc w:val="center"/>
        <w:outlineLvl w:val="0"/>
        <w:rPr>
          <w:rFonts w:ascii="黑体" w:hAnsi="黑体" w:eastAsia="黑体" w:cs="黑体"/>
          <w:szCs w:val="21"/>
        </w:rPr>
      </w:pPr>
      <w:bookmarkStart w:id="95" w:name="_Toc164415087"/>
      <w:r>
        <w:rPr>
          <w:rFonts w:hint="eastAsia" w:ascii="黑体" w:hAnsi="黑体" w:eastAsia="黑体" w:cs="黑体"/>
          <w:szCs w:val="21"/>
        </w:rPr>
        <w:t>附  录  C</w:t>
      </w:r>
      <w:bookmarkEnd w:id="95"/>
    </w:p>
    <w:p>
      <w:pPr>
        <w:pStyle w:val="8"/>
        <w:jc w:val="center"/>
        <w:outlineLvl w:val="0"/>
        <w:rPr>
          <w:rFonts w:ascii="黑体" w:hAnsi="黑体" w:eastAsia="黑体" w:cs="黑体"/>
          <w:sz w:val="21"/>
          <w:szCs w:val="21"/>
        </w:rPr>
      </w:pPr>
      <w:bookmarkStart w:id="96" w:name="_Toc164415088"/>
      <w:r>
        <w:rPr>
          <w:rFonts w:hint="eastAsia" w:ascii="黑体" w:hAnsi="黑体" w:eastAsia="黑体" w:cs="黑体"/>
          <w:sz w:val="21"/>
          <w:szCs w:val="21"/>
        </w:rPr>
        <w:t>（规范性）</w:t>
      </w:r>
      <w:bookmarkEnd w:id="96"/>
    </w:p>
    <w:p>
      <w:pPr>
        <w:pStyle w:val="8"/>
        <w:adjustRightInd w:val="0"/>
        <w:spacing w:after="283"/>
        <w:jc w:val="center"/>
        <w:outlineLvl w:val="0"/>
        <w:rPr>
          <w:rFonts w:ascii="黑体" w:hAnsi="黑体" w:eastAsia="黑体"/>
          <w:color w:val="000000"/>
          <w:sz w:val="21"/>
          <w:szCs w:val="21"/>
        </w:rPr>
      </w:pPr>
      <w:bookmarkStart w:id="97" w:name="_Toc164415089"/>
      <w:r>
        <w:rPr>
          <w:rFonts w:hint="eastAsia" w:ascii="黑体" w:hAnsi="黑体" w:eastAsia="黑体"/>
          <w:color w:val="000000"/>
          <w:sz w:val="21"/>
          <w:szCs w:val="21"/>
        </w:rPr>
        <w:t>土壤相关元素检测方法</w:t>
      </w:r>
      <w:bookmarkEnd w:id="97"/>
    </w:p>
    <w:p>
      <w:pPr>
        <w:pStyle w:val="27"/>
      </w:pPr>
      <w:r>
        <w:rPr>
          <w:rFonts w:hint="eastAsia"/>
        </w:rPr>
        <w:t>土壤相关元素检测方法</w:t>
      </w:r>
      <w:r>
        <w:rPr>
          <w:rFonts w:hint="eastAsia" w:ascii="宋体" w:hAnsi="宋体" w:eastAsia="宋体" w:cs="宋体"/>
        </w:rPr>
        <w:t>见表C.1。</w:t>
      </w:r>
    </w:p>
    <w:p>
      <w:pPr>
        <w:spacing w:before="156" w:beforeLines="50" w:after="156" w:afterLines="50"/>
        <w:jc w:val="center"/>
        <w:rPr>
          <w:rFonts w:eastAsia="黑体"/>
          <w:bCs/>
          <w:color w:val="000000"/>
          <w:szCs w:val="21"/>
        </w:rPr>
      </w:pPr>
      <w:bookmarkStart w:id="98" w:name="_Hlk164411748"/>
      <w:r>
        <w:rPr>
          <w:rFonts w:hint="eastAsia" w:ascii="黑体" w:hAnsi="黑体" w:eastAsia="黑体" w:cs="黑体"/>
          <w:bCs/>
          <w:color w:val="000000"/>
          <w:szCs w:val="21"/>
        </w:rPr>
        <w:t xml:space="preserve">表C.1 </w:t>
      </w:r>
      <w:r>
        <w:rPr>
          <w:rFonts w:hint="eastAsia" w:eastAsia="黑体"/>
          <w:bCs/>
          <w:color w:val="000000"/>
          <w:szCs w:val="21"/>
        </w:rPr>
        <w:t xml:space="preserve"> 土壤相关元素检测方法</w:t>
      </w:r>
    </w:p>
    <w:bookmarkEnd w:id="98"/>
    <w:tbl>
      <w:tblPr>
        <w:tblStyle w:val="33"/>
        <w:tblW w:w="9570"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863"/>
        <w:gridCol w:w="861"/>
        <w:gridCol w:w="6182"/>
        <w:gridCol w:w="1664"/>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blHeader/>
        </w:trPr>
        <w:tc>
          <w:tcPr>
            <w:tcW w:w="863"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序号</w:t>
            </w:r>
          </w:p>
        </w:tc>
        <w:tc>
          <w:tcPr>
            <w:tcW w:w="861"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元素</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检测方法</w:t>
            </w:r>
          </w:p>
        </w:tc>
        <w:tc>
          <w:tcPr>
            <w:tcW w:w="1664"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标准编号</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镉</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土壤质量</w:t>
            </w:r>
            <w:r>
              <w:rPr>
                <w:rFonts w:ascii="宋体" w:hAnsi="宋体"/>
                <w:color w:val="000000"/>
                <w:kern w:val="0"/>
                <w:sz w:val="18"/>
                <w:szCs w:val="18"/>
              </w:rPr>
              <w:t xml:space="preserve">  </w:t>
            </w:r>
            <w:r>
              <w:rPr>
                <w:rFonts w:ascii="宋体" w:hAnsi="宋体" w:cs="Times New Roman"/>
                <w:color w:val="000000"/>
                <w:kern w:val="0"/>
                <w:sz w:val="18"/>
                <w:szCs w:val="18"/>
              </w:rPr>
              <w:t>铅、镉的测定</w:t>
            </w:r>
            <w:r>
              <w:rPr>
                <w:rFonts w:ascii="宋体" w:hAnsi="宋体"/>
                <w:color w:val="000000"/>
                <w:kern w:val="0"/>
                <w:sz w:val="18"/>
                <w:szCs w:val="18"/>
              </w:rPr>
              <w:t xml:space="preserve">  </w:t>
            </w:r>
            <w:r>
              <w:rPr>
                <w:rFonts w:ascii="宋体" w:hAnsi="宋体" w:cs="Times New Roman"/>
                <w:color w:val="000000"/>
                <w:kern w:val="0"/>
                <w:sz w:val="18"/>
                <w:szCs w:val="18"/>
              </w:rPr>
              <w:t>石墨炉原子吸收分光光度法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GB/T 17141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803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19 </w:t>
            </w:r>
            <w:r>
              <w:rPr>
                <w:rFonts w:ascii="宋体" w:hAnsi="宋体" w:cs="Times New Roman"/>
                <w:color w:val="000000"/>
                <w:kern w:val="0"/>
                <w:sz w:val="18"/>
                <w:szCs w:val="18"/>
              </w:rPr>
              <w:t>种金属元素总量的测定</w:t>
            </w:r>
            <w:r>
              <w:rPr>
                <w:rFonts w:ascii="宋体" w:hAnsi="宋体"/>
                <w:color w:val="000000"/>
                <w:kern w:val="0"/>
                <w:sz w:val="18"/>
                <w:szCs w:val="18"/>
              </w:rPr>
              <w:t xml:space="preserve"> </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1315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2</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汞</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土壤质量</w:t>
            </w:r>
            <w:r>
              <w:rPr>
                <w:rFonts w:ascii="宋体" w:hAnsi="宋体"/>
                <w:color w:val="000000"/>
                <w:kern w:val="0"/>
                <w:sz w:val="18"/>
                <w:szCs w:val="18"/>
              </w:rPr>
              <w:t xml:space="preserve">  </w:t>
            </w:r>
            <w:r>
              <w:rPr>
                <w:rFonts w:ascii="宋体" w:hAnsi="宋体" w:cs="Times New Roman"/>
                <w:color w:val="000000"/>
                <w:kern w:val="0"/>
                <w:sz w:val="18"/>
                <w:szCs w:val="18"/>
              </w:rPr>
              <w:t>总汞、总砷、总铅的测定</w:t>
            </w:r>
            <w:r>
              <w:rPr>
                <w:rFonts w:ascii="宋体" w:hAnsi="宋体"/>
                <w:color w:val="000000"/>
                <w:kern w:val="0"/>
                <w:sz w:val="18"/>
                <w:szCs w:val="18"/>
              </w:rPr>
              <w:t xml:space="preserve">  </w:t>
            </w:r>
            <w:r>
              <w:rPr>
                <w:rFonts w:ascii="宋体" w:hAnsi="宋体" w:cs="Times New Roman"/>
                <w:color w:val="000000"/>
                <w:kern w:val="0"/>
                <w:sz w:val="18"/>
                <w:szCs w:val="18"/>
              </w:rPr>
              <w:t>原子荧光法第</w:t>
            </w:r>
            <w:r>
              <w:rPr>
                <w:rFonts w:ascii="宋体" w:hAnsi="宋体"/>
                <w:color w:val="000000"/>
                <w:kern w:val="0"/>
                <w:sz w:val="18"/>
                <w:szCs w:val="18"/>
              </w:rPr>
              <w:t>1</w:t>
            </w:r>
            <w:r>
              <w:rPr>
                <w:rFonts w:ascii="宋体" w:hAnsi="宋体" w:cs="Times New Roman"/>
                <w:color w:val="000000"/>
                <w:kern w:val="0"/>
                <w:sz w:val="18"/>
                <w:szCs w:val="18"/>
              </w:rPr>
              <w:t>部分：土壤中总汞的测定</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GB/T 22105.1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w:t>
            </w:r>
            <w:r>
              <w:rPr>
                <w:rFonts w:ascii="宋体" w:hAnsi="宋体" w:cs="Times New Roman"/>
                <w:color w:val="000000"/>
                <w:kern w:val="0"/>
                <w:sz w:val="18"/>
                <w:szCs w:val="18"/>
              </w:rPr>
              <w:t>汞、砷、硒、铋、锑的测定</w:t>
            </w:r>
            <w:r>
              <w:rPr>
                <w:rFonts w:ascii="宋体" w:hAnsi="宋体"/>
                <w:color w:val="000000"/>
                <w:kern w:val="0"/>
                <w:sz w:val="18"/>
                <w:szCs w:val="18"/>
              </w:rPr>
              <w:t xml:space="preserve"> </w:t>
            </w:r>
            <w:r>
              <w:rPr>
                <w:rFonts w:ascii="宋体" w:hAnsi="宋体" w:cs="Times New Roman"/>
                <w:color w:val="000000"/>
                <w:kern w:val="0"/>
                <w:sz w:val="18"/>
                <w:szCs w:val="18"/>
              </w:rPr>
              <w:t>微波消解原子荧光法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680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w:t>
            </w:r>
            <w:r>
              <w:rPr>
                <w:rFonts w:ascii="宋体" w:hAnsi="宋体" w:cs="Times New Roman"/>
                <w:color w:val="000000"/>
                <w:kern w:val="0"/>
                <w:sz w:val="18"/>
                <w:szCs w:val="18"/>
              </w:rPr>
              <w:t>总汞的测定</w:t>
            </w:r>
            <w:r>
              <w:rPr>
                <w:rFonts w:ascii="宋体" w:hAnsi="宋体"/>
                <w:color w:val="000000"/>
                <w:kern w:val="0"/>
                <w:sz w:val="18"/>
                <w:szCs w:val="18"/>
              </w:rPr>
              <w:t xml:space="preserve"> </w:t>
            </w:r>
            <w:r>
              <w:rPr>
                <w:rFonts w:ascii="宋体" w:hAnsi="宋体" w:cs="Times New Roman"/>
                <w:color w:val="000000"/>
                <w:kern w:val="0"/>
                <w:sz w:val="18"/>
                <w:szCs w:val="18"/>
              </w:rPr>
              <w:t>催化热解</w:t>
            </w:r>
            <w:r>
              <w:rPr>
                <w:rFonts w:ascii="宋体" w:hAnsi="宋体"/>
                <w:color w:val="000000"/>
                <w:kern w:val="0"/>
                <w:sz w:val="18"/>
                <w:szCs w:val="18"/>
              </w:rPr>
              <w:t>-</w:t>
            </w:r>
            <w:r>
              <w:rPr>
                <w:rFonts w:ascii="宋体" w:hAnsi="宋体" w:cs="Times New Roman"/>
                <w:color w:val="000000"/>
                <w:kern w:val="0"/>
                <w:sz w:val="18"/>
                <w:szCs w:val="18"/>
              </w:rPr>
              <w:t>冷原子吸收分光光度法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923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3</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砷</w:t>
            </w:r>
          </w:p>
        </w:tc>
        <w:tc>
          <w:tcPr>
            <w:tcW w:w="6182"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土壤质量</w:t>
            </w:r>
            <w:r>
              <w:rPr>
                <w:rFonts w:ascii="宋体" w:hAnsi="宋体"/>
                <w:color w:val="000000"/>
                <w:kern w:val="0"/>
                <w:sz w:val="18"/>
                <w:szCs w:val="18"/>
              </w:rPr>
              <w:t xml:space="preserve">  </w:t>
            </w:r>
            <w:r>
              <w:rPr>
                <w:rFonts w:ascii="宋体" w:hAnsi="宋体" w:cs="Times New Roman"/>
                <w:color w:val="000000"/>
                <w:kern w:val="0"/>
                <w:sz w:val="18"/>
                <w:szCs w:val="18"/>
              </w:rPr>
              <w:t>总汞、总砷、总铅的测定</w:t>
            </w:r>
            <w:r>
              <w:rPr>
                <w:rFonts w:ascii="宋体" w:hAnsi="宋体"/>
                <w:color w:val="000000"/>
                <w:kern w:val="0"/>
                <w:sz w:val="18"/>
                <w:szCs w:val="18"/>
              </w:rPr>
              <w:t xml:space="preserve">  </w:t>
            </w:r>
            <w:r>
              <w:rPr>
                <w:rFonts w:ascii="宋体" w:hAnsi="宋体" w:cs="Times New Roman"/>
                <w:color w:val="000000"/>
                <w:kern w:val="0"/>
                <w:sz w:val="18"/>
                <w:szCs w:val="18"/>
              </w:rPr>
              <w:t>原子荧光法</w:t>
            </w:r>
            <w:r>
              <w:rPr>
                <w:rFonts w:ascii="宋体" w:hAnsi="宋体"/>
                <w:color w:val="000000"/>
                <w:kern w:val="0"/>
                <w:sz w:val="18"/>
                <w:szCs w:val="18"/>
              </w:rPr>
              <w:t xml:space="preserve"> </w:t>
            </w:r>
            <w:r>
              <w:rPr>
                <w:rFonts w:ascii="宋体" w:hAnsi="宋体" w:cs="Times New Roman"/>
                <w:color w:val="000000"/>
                <w:kern w:val="0"/>
                <w:sz w:val="18"/>
                <w:szCs w:val="18"/>
              </w:rPr>
              <w:t>第</w:t>
            </w:r>
            <w:r>
              <w:rPr>
                <w:rFonts w:ascii="宋体" w:hAnsi="宋体"/>
                <w:color w:val="000000"/>
                <w:kern w:val="0"/>
                <w:sz w:val="18"/>
                <w:szCs w:val="18"/>
              </w:rPr>
              <w:t>2</w:t>
            </w:r>
            <w:r>
              <w:rPr>
                <w:rFonts w:ascii="宋体" w:hAnsi="宋体" w:cs="Times New Roman"/>
                <w:color w:val="000000"/>
                <w:kern w:val="0"/>
                <w:sz w:val="18"/>
                <w:szCs w:val="18"/>
              </w:rPr>
              <w:t>部分：土壤中总砷的测定</w:t>
            </w:r>
          </w:p>
        </w:tc>
        <w:tc>
          <w:tcPr>
            <w:tcW w:w="1664"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GB/T 22105.2</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Merge w:val="continue"/>
            <w:vAlign w:val="center"/>
          </w:tcPr>
          <w:p>
            <w:pPr>
              <w:widowControl/>
              <w:snapToGrid w:val="0"/>
              <w:jc w:val="left"/>
              <w:rPr>
                <w:rFonts w:ascii="宋体" w:hAnsi="宋体" w:cs="Times New Roman"/>
                <w:color w:val="000000"/>
                <w:kern w:val="0"/>
                <w:sz w:val="18"/>
                <w:szCs w:val="18"/>
              </w:rPr>
            </w:pPr>
          </w:p>
        </w:tc>
        <w:tc>
          <w:tcPr>
            <w:tcW w:w="1664" w:type="dxa"/>
            <w:vMerge w:val="continue"/>
            <w:vAlign w:val="center"/>
          </w:tcPr>
          <w:p>
            <w:pPr>
              <w:widowControl/>
              <w:snapToGrid w:val="0"/>
              <w:jc w:val="left"/>
              <w:rPr>
                <w:rFonts w:ascii="宋体" w:hAnsi="宋体" w:eastAsia="宋体"/>
                <w:color w:val="000000"/>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w:t>
            </w:r>
            <w:r>
              <w:rPr>
                <w:rFonts w:ascii="宋体" w:hAnsi="宋体" w:cs="Times New Roman"/>
                <w:color w:val="000000"/>
                <w:kern w:val="0"/>
                <w:sz w:val="18"/>
                <w:szCs w:val="18"/>
              </w:rPr>
              <w:t>汞、砷、硒、铋、锑的测定</w:t>
            </w:r>
            <w:r>
              <w:rPr>
                <w:rFonts w:ascii="宋体" w:hAnsi="宋体"/>
                <w:color w:val="000000"/>
                <w:kern w:val="0"/>
                <w:sz w:val="18"/>
                <w:szCs w:val="18"/>
              </w:rPr>
              <w:t xml:space="preserve"> </w:t>
            </w:r>
            <w:r>
              <w:rPr>
                <w:rFonts w:ascii="宋体" w:hAnsi="宋体" w:cs="Times New Roman"/>
                <w:color w:val="000000"/>
                <w:kern w:val="0"/>
                <w:sz w:val="18"/>
                <w:szCs w:val="18"/>
              </w:rPr>
              <w:t>微波消解原子荧光法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680</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803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19 </w:t>
            </w:r>
            <w:r>
              <w:rPr>
                <w:rFonts w:ascii="宋体" w:hAnsi="宋体" w:cs="Times New Roman"/>
                <w:color w:val="000000"/>
                <w:kern w:val="0"/>
                <w:sz w:val="18"/>
                <w:szCs w:val="18"/>
              </w:rPr>
              <w:t>种金属元素总量的测定</w:t>
            </w:r>
            <w:r>
              <w:rPr>
                <w:rFonts w:ascii="宋体" w:hAnsi="宋体"/>
                <w:color w:val="000000"/>
                <w:kern w:val="0"/>
                <w:sz w:val="18"/>
                <w:szCs w:val="18"/>
              </w:rPr>
              <w:t xml:space="preserve"> </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1315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4</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铅</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土壤质量</w:t>
            </w:r>
            <w:r>
              <w:rPr>
                <w:rFonts w:ascii="宋体" w:hAnsi="宋体"/>
                <w:color w:val="000000"/>
                <w:kern w:val="0"/>
                <w:sz w:val="18"/>
                <w:szCs w:val="18"/>
              </w:rPr>
              <w:t xml:space="preserve">  </w:t>
            </w:r>
            <w:r>
              <w:rPr>
                <w:rFonts w:ascii="宋体" w:hAnsi="宋体" w:cs="Times New Roman"/>
                <w:color w:val="000000"/>
                <w:kern w:val="0"/>
                <w:sz w:val="18"/>
                <w:szCs w:val="18"/>
              </w:rPr>
              <w:t>铅、镉的测定</w:t>
            </w:r>
            <w:r>
              <w:rPr>
                <w:rFonts w:ascii="宋体" w:hAnsi="宋体"/>
                <w:color w:val="000000"/>
                <w:kern w:val="0"/>
                <w:sz w:val="18"/>
                <w:szCs w:val="18"/>
              </w:rPr>
              <w:t xml:space="preserve">  </w:t>
            </w:r>
            <w:r>
              <w:rPr>
                <w:rFonts w:ascii="宋体" w:hAnsi="宋体" w:cs="Times New Roman"/>
                <w:color w:val="000000"/>
                <w:kern w:val="0"/>
                <w:sz w:val="18"/>
                <w:szCs w:val="18"/>
              </w:rPr>
              <w:t>石墨炉原子吸收分光光度法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GB/T 17141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w:t>
            </w:r>
            <w:r>
              <w:rPr>
                <w:rFonts w:ascii="宋体" w:hAnsi="宋体" w:cs="Times New Roman"/>
                <w:color w:val="000000"/>
                <w:kern w:val="0"/>
                <w:sz w:val="18"/>
                <w:szCs w:val="18"/>
              </w:rPr>
              <w:t>铜、锌、铅、镍、铬的测定</w:t>
            </w:r>
            <w:r>
              <w:rPr>
                <w:rFonts w:ascii="宋体" w:hAnsi="宋体"/>
                <w:color w:val="000000"/>
                <w:kern w:val="0"/>
                <w:sz w:val="18"/>
                <w:szCs w:val="18"/>
              </w:rPr>
              <w:t xml:space="preserve"> </w:t>
            </w:r>
            <w:r>
              <w:rPr>
                <w:rFonts w:ascii="宋体" w:hAnsi="宋体" w:cs="Times New Roman"/>
                <w:color w:val="000000"/>
                <w:kern w:val="0"/>
                <w:sz w:val="18"/>
                <w:szCs w:val="18"/>
              </w:rPr>
              <w:t>火焰原子吸收分光光度法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491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803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19 </w:t>
            </w:r>
            <w:r>
              <w:rPr>
                <w:rFonts w:ascii="宋体" w:hAnsi="宋体" w:cs="Times New Roman"/>
                <w:color w:val="000000"/>
                <w:kern w:val="0"/>
                <w:sz w:val="18"/>
                <w:szCs w:val="18"/>
              </w:rPr>
              <w:t>种金属元素总量的测定</w:t>
            </w:r>
            <w:r>
              <w:rPr>
                <w:rFonts w:ascii="宋体" w:hAnsi="宋体"/>
                <w:color w:val="000000"/>
                <w:kern w:val="0"/>
                <w:sz w:val="18"/>
                <w:szCs w:val="18"/>
              </w:rPr>
              <w:t xml:space="preserve"> </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1315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5</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铬</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w:t>
            </w:r>
            <w:r>
              <w:rPr>
                <w:rFonts w:ascii="宋体" w:hAnsi="宋体" w:cs="Times New Roman"/>
                <w:color w:val="000000"/>
                <w:kern w:val="0"/>
                <w:sz w:val="18"/>
                <w:szCs w:val="18"/>
              </w:rPr>
              <w:t>铜、锌、铅、镍、铬的测定</w:t>
            </w:r>
            <w:r>
              <w:rPr>
                <w:rFonts w:ascii="宋体" w:hAnsi="宋体"/>
                <w:color w:val="000000"/>
                <w:kern w:val="0"/>
                <w:sz w:val="18"/>
                <w:szCs w:val="18"/>
              </w:rPr>
              <w:t xml:space="preserve"> </w:t>
            </w:r>
            <w:r>
              <w:rPr>
                <w:rFonts w:ascii="宋体" w:hAnsi="宋体" w:cs="Times New Roman"/>
                <w:color w:val="000000"/>
                <w:kern w:val="0"/>
                <w:sz w:val="18"/>
                <w:szCs w:val="18"/>
              </w:rPr>
              <w:t>火焰原子吸收分光光度法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491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803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19 </w:t>
            </w:r>
            <w:r>
              <w:rPr>
                <w:rFonts w:ascii="宋体" w:hAnsi="宋体" w:cs="Times New Roman"/>
                <w:color w:val="000000"/>
                <w:kern w:val="0"/>
                <w:sz w:val="18"/>
                <w:szCs w:val="18"/>
              </w:rPr>
              <w:t>种金属元素总量的测定</w:t>
            </w:r>
            <w:r>
              <w:rPr>
                <w:rFonts w:ascii="宋体" w:hAnsi="宋体"/>
                <w:color w:val="000000"/>
                <w:kern w:val="0"/>
                <w:sz w:val="18"/>
                <w:szCs w:val="18"/>
              </w:rPr>
              <w:t xml:space="preserve"> </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1315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6</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铜</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w:t>
            </w:r>
            <w:r>
              <w:rPr>
                <w:rFonts w:ascii="宋体" w:hAnsi="宋体" w:cs="Times New Roman"/>
                <w:color w:val="000000"/>
                <w:kern w:val="0"/>
                <w:sz w:val="18"/>
                <w:szCs w:val="18"/>
              </w:rPr>
              <w:t>铜、锌、铅、镍、铬的测定</w:t>
            </w:r>
            <w:r>
              <w:rPr>
                <w:rFonts w:ascii="宋体" w:hAnsi="宋体"/>
                <w:color w:val="000000"/>
                <w:kern w:val="0"/>
                <w:sz w:val="18"/>
                <w:szCs w:val="18"/>
              </w:rPr>
              <w:t xml:space="preserve"> </w:t>
            </w:r>
            <w:r>
              <w:rPr>
                <w:rFonts w:ascii="宋体" w:hAnsi="宋体" w:cs="Times New Roman"/>
                <w:color w:val="000000"/>
                <w:kern w:val="0"/>
                <w:sz w:val="18"/>
                <w:szCs w:val="18"/>
              </w:rPr>
              <w:t>火焰原子吸收分光光度法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491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803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19 </w:t>
            </w:r>
            <w:r>
              <w:rPr>
                <w:rFonts w:ascii="宋体" w:hAnsi="宋体" w:cs="Times New Roman"/>
                <w:color w:val="000000"/>
                <w:kern w:val="0"/>
                <w:sz w:val="18"/>
                <w:szCs w:val="18"/>
              </w:rPr>
              <w:t>种金属元素总量的测定</w:t>
            </w:r>
            <w:r>
              <w:rPr>
                <w:rFonts w:ascii="宋体" w:hAnsi="宋体"/>
                <w:color w:val="000000"/>
                <w:kern w:val="0"/>
                <w:sz w:val="18"/>
                <w:szCs w:val="18"/>
              </w:rPr>
              <w:t xml:space="preserve"> </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1315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7</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镍</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w:t>
            </w:r>
            <w:r>
              <w:rPr>
                <w:rFonts w:ascii="宋体" w:hAnsi="宋体" w:cs="Times New Roman"/>
                <w:color w:val="000000"/>
                <w:kern w:val="0"/>
                <w:sz w:val="18"/>
                <w:szCs w:val="18"/>
              </w:rPr>
              <w:t>铜、锌、铅、镍、铬的测定</w:t>
            </w:r>
            <w:r>
              <w:rPr>
                <w:rFonts w:ascii="宋体" w:hAnsi="宋体"/>
                <w:color w:val="000000"/>
                <w:kern w:val="0"/>
                <w:sz w:val="18"/>
                <w:szCs w:val="18"/>
              </w:rPr>
              <w:t xml:space="preserve"> </w:t>
            </w:r>
            <w:r>
              <w:rPr>
                <w:rFonts w:ascii="宋体" w:hAnsi="宋体" w:cs="Times New Roman"/>
                <w:color w:val="000000"/>
                <w:kern w:val="0"/>
                <w:sz w:val="18"/>
                <w:szCs w:val="18"/>
              </w:rPr>
              <w:t>火焰原子吸收分光光度法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491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803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8</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锌</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w:t>
            </w:r>
            <w:r>
              <w:rPr>
                <w:rFonts w:ascii="宋体" w:hAnsi="宋体" w:cs="Times New Roman"/>
                <w:color w:val="000000"/>
                <w:kern w:val="0"/>
                <w:sz w:val="18"/>
                <w:szCs w:val="18"/>
              </w:rPr>
              <w:t>铜、锌、铅、镍、铬的测定</w:t>
            </w:r>
            <w:r>
              <w:rPr>
                <w:rFonts w:ascii="宋体" w:hAnsi="宋体"/>
                <w:color w:val="000000"/>
                <w:kern w:val="0"/>
                <w:sz w:val="18"/>
                <w:szCs w:val="18"/>
              </w:rPr>
              <w:t xml:space="preserve"> </w:t>
            </w:r>
            <w:r>
              <w:rPr>
                <w:rFonts w:ascii="宋体" w:hAnsi="宋体" w:cs="Times New Roman"/>
                <w:color w:val="000000"/>
                <w:kern w:val="0"/>
                <w:sz w:val="18"/>
                <w:szCs w:val="18"/>
              </w:rPr>
              <w:t>火焰原子吸收分光光度法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491</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803</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19 </w:t>
            </w:r>
            <w:r>
              <w:rPr>
                <w:rFonts w:ascii="宋体" w:hAnsi="宋体" w:cs="Times New Roman"/>
                <w:color w:val="000000"/>
                <w:kern w:val="0"/>
                <w:sz w:val="18"/>
                <w:szCs w:val="18"/>
              </w:rPr>
              <w:t>种金属元素总量的测定</w:t>
            </w:r>
            <w:r>
              <w:rPr>
                <w:rFonts w:ascii="宋体" w:hAnsi="宋体"/>
                <w:color w:val="000000"/>
                <w:kern w:val="0"/>
                <w:sz w:val="18"/>
                <w:szCs w:val="18"/>
              </w:rPr>
              <w:t xml:space="preserve"> </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1315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9</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钒</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 </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 xml:space="preserve">HJ 803  </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19 </w:t>
            </w:r>
            <w:r>
              <w:rPr>
                <w:rFonts w:ascii="宋体" w:hAnsi="宋体" w:cs="Times New Roman"/>
                <w:color w:val="000000"/>
                <w:kern w:val="0"/>
                <w:sz w:val="18"/>
                <w:szCs w:val="18"/>
              </w:rPr>
              <w:t>种金属元素总量的测定</w:t>
            </w:r>
            <w:r>
              <w:rPr>
                <w:rFonts w:ascii="宋体" w:hAnsi="宋体"/>
                <w:color w:val="000000"/>
                <w:kern w:val="0"/>
                <w:sz w:val="18"/>
                <w:szCs w:val="18"/>
              </w:rPr>
              <w:t xml:space="preserve"> </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1315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10</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锰</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 </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 xml:space="preserve">HJ 803  </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19 </w:t>
            </w:r>
            <w:r>
              <w:rPr>
                <w:rFonts w:ascii="宋体" w:hAnsi="宋体" w:cs="Times New Roman"/>
                <w:color w:val="000000"/>
                <w:kern w:val="0"/>
                <w:sz w:val="18"/>
                <w:szCs w:val="18"/>
              </w:rPr>
              <w:t>种金属元素总量的测定</w:t>
            </w:r>
            <w:r>
              <w:rPr>
                <w:rFonts w:ascii="宋体" w:hAnsi="宋体"/>
                <w:color w:val="000000"/>
                <w:kern w:val="0"/>
                <w:sz w:val="18"/>
                <w:szCs w:val="18"/>
              </w:rPr>
              <w:t xml:space="preserve"> </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1315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restart"/>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11</w:t>
            </w:r>
          </w:p>
        </w:tc>
        <w:tc>
          <w:tcPr>
            <w:tcW w:w="861" w:type="dxa"/>
            <w:vMerge w:val="restart"/>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钴</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12 </w:t>
            </w:r>
            <w:r>
              <w:rPr>
                <w:rFonts w:ascii="宋体" w:hAnsi="宋体" w:cs="Times New Roman"/>
                <w:color w:val="000000"/>
                <w:kern w:val="0"/>
                <w:sz w:val="18"/>
                <w:szCs w:val="18"/>
              </w:rPr>
              <w:t>种金属元素的测定</w:t>
            </w:r>
            <w:r>
              <w:rPr>
                <w:rFonts w:ascii="宋体" w:hAnsi="宋体"/>
                <w:color w:val="000000"/>
                <w:kern w:val="0"/>
                <w:sz w:val="18"/>
                <w:szCs w:val="18"/>
              </w:rPr>
              <w:t xml:space="preserve"> </w:t>
            </w:r>
            <w:r>
              <w:rPr>
                <w:rFonts w:ascii="宋体" w:hAnsi="宋体" w:cs="Times New Roman"/>
                <w:color w:val="000000"/>
                <w:kern w:val="0"/>
                <w:sz w:val="18"/>
                <w:szCs w:val="18"/>
              </w:rPr>
              <w:t>王水提取</w:t>
            </w:r>
            <w:r>
              <w:rPr>
                <w:rFonts w:ascii="宋体" w:hAnsi="宋体"/>
                <w:color w:val="000000"/>
                <w:kern w:val="0"/>
                <w:sz w:val="18"/>
                <w:szCs w:val="18"/>
              </w:rPr>
              <w:t>-</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 xml:space="preserve">HJ 803  </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Merge w:val="continue"/>
            <w:vAlign w:val="center"/>
          </w:tcPr>
          <w:p>
            <w:pPr>
              <w:widowControl/>
              <w:snapToGrid w:val="0"/>
              <w:jc w:val="left"/>
              <w:rPr>
                <w:rFonts w:ascii="宋体" w:hAnsi="宋体" w:eastAsia="宋体"/>
                <w:color w:val="000000"/>
                <w:kern w:val="0"/>
                <w:sz w:val="18"/>
                <w:szCs w:val="18"/>
              </w:rPr>
            </w:pPr>
          </w:p>
        </w:tc>
        <w:tc>
          <w:tcPr>
            <w:tcW w:w="861" w:type="dxa"/>
            <w:vMerge w:val="continue"/>
            <w:vAlign w:val="center"/>
          </w:tcPr>
          <w:p>
            <w:pPr>
              <w:widowControl/>
              <w:snapToGrid w:val="0"/>
              <w:jc w:val="left"/>
              <w:rPr>
                <w:rFonts w:ascii="宋体" w:hAnsi="宋体" w:cs="Times New Roman"/>
                <w:color w:val="000000"/>
                <w:kern w:val="0"/>
                <w:sz w:val="18"/>
                <w:szCs w:val="18"/>
              </w:rPr>
            </w:pP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19 </w:t>
            </w:r>
            <w:r>
              <w:rPr>
                <w:rFonts w:ascii="宋体" w:hAnsi="宋体" w:cs="Times New Roman"/>
                <w:color w:val="000000"/>
                <w:kern w:val="0"/>
                <w:sz w:val="18"/>
                <w:szCs w:val="18"/>
              </w:rPr>
              <w:t>种金属元素总量的测定</w:t>
            </w:r>
            <w:r>
              <w:rPr>
                <w:rFonts w:ascii="宋体" w:hAnsi="宋体"/>
                <w:color w:val="000000"/>
                <w:kern w:val="0"/>
                <w:sz w:val="18"/>
                <w:szCs w:val="18"/>
              </w:rPr>
              <w:t xml:space="preserve"> </w:t>
            </w:r>
            <w:r>
              <w:rPr>
                <w:rFonts w:ascii="宋体" w:hAnsi="宋体" w:cs="Times New Roman"/>
                <w:color w:val="000000"/>
                <w:kern w:val="0"/>
                <w:sz w:val="18"/>
                <w:szCs w:val="18"/>
              </w:rPr>
              <w:t>电感耦合等离子体质谱法</w:t>
            </w:r>
          </w:p>
        </w:tc>
        <w:tc>
          <w:tcPr>
            <w:tcW w:w="1664"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1315</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63" w:type="dxa"/>
            <w:vAlign w:val="center"/>
          </w:tcPr>
          <w:p>
            <w:pPr>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12</w:t>
            </w:r>
          </w:p>
        </w:tc>
        <w:tc>
          <w:tcPr>
            <w:tcW w:w="861"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硒</w:t>
            </w:r>
          </w:p>
        </w:tc>
        <w:tc>
          <w:tcPr>
            <w:tcW w:w="6182" w:type="dxa"/>
            <w:vAlign w:val="center"/>
          </w:tcPr>
          <w:p>
            <w:pPr>
              <w:widowControl/>
              <w:snapToGrid w:val="0"/>
              <w:jc w:val="center"/>
              <w:rPr>
                <w:rFonts w:ascii="宋体" w:hAnsi="宋体" w:cs="Times New Roman"/>
                <w:color w:val="000000"/>
                <w:kern w:val="0"/>
                <w:sz w:val="18"/>
                <w:szCs w:val="18"/>
              </w:rPr>
            </w:pPr>
            <w:r>
              <w:rPr>
                <w:rFonts w:ascii="宋体" w:hAnsi="宋体" w:cs="Times New Roman"/>
                <w:color w:val="000000"/>
                <w:kern w:val="0"/>
                <w:sz w:val="18"/>
                <w:szCs w:val="18"/>
              </w:rPr>
              <w:t>土壤和沉积物</w:t>
            </w:r>
            <w:r>
              <w:rPr>
                <w:rFonts w:ascii="宋体" w:hAnsi="宋体"/>
                <w:color w:val="000000"/>
                <w:kern w:val="0"/>
                <w:sz w:val="18"/>
                <w:szCs w:val="18"/>
              </w:rPr>
              <w:t xml:space="preserve"> </w:t>
            </w:r>
            <w:r>
              <w:rPr>
                <w:rFonts w:ascii="宋体" w:hAnsi="宋体" w:cs="Times New Roman"/>
                <w:color w:val="000000"/>
                <w:kern w:val="0"/>
                <w:sz w:val="18"/>
                <w:szCs w:val="18"/>
              </w:rPr>
              <w:t>汞、砷、硒、铋、锑的测定</w:t>
            </w:r>
            <w:r>
              <w:rPr>
                <w:rFonts w:ascii="宋体" w:hAnsi="宋体"/>
                <w:color w:val="000000"/>
                <w:kern w:val="0"/>
                <w:sz w:val="18"/>
                <w:szCs w:val="18"/>
              </w:rPr>
              <w:t xml:space="preserve"> </w:t>
            </w:r>
            <w:r>
              <w:rPr>
                <w:rFonts w:ascii="宋体" w:hAnsi="宋体" w:cs="Times New Roman"/>
                <w:color w:val="000000"/>
                <w:kern w:val="0"/>
                <w:sz w:val="18"/>
                <w:szCs w:val="18"/>
              </w:rPr>
              <w:t>微波消解原子荧光法</w:t>
            </w:r>
          </w:p>
        </w:tc>
        <w:tc>
          <w:tcPr>
            <w:tcW w:w="1664" w:type="dxa"/>
            <w:vAlign w:val="center"/>
          </w:tcPr>
          <w:p>
            <w:pPr>
              <w:keepNext/>
              <w:widowControl/>
              <w:snapToGrid w:val="0"/>
              <w:jc w:val="center"/>
              <w:rPr>
                <w:rFonts w:ascii="宋体" w:hAnsi="宋体" w:eastAsia="宋体"/>
                <w:color w:val="000000"/>
                <w:kern w:val="0"/>
                <w:sz w:val="18"/>
                <w:szCs w:val="18"/>
              </w:rPr>
            </w:pPr>
            <w:r>
              <w:rPr>
                <w:rFonts w:ascii="宋体" w:hAnsi="宋体" w:eastAsia="宋体"/>
                <w:color w:val="000000"/>
                <w:kern w:val="0"/>
                <w:sz w:val="18"/>
                <w:szCs w:val="18"/>
              </w:rPr>
              <w:t>HJ 680</w:t>
            </w:r>
          </w:p>
        </w:tc>
      </w:tr>
    </w:tbl>
    <w:p>
      <w:r>
        <mc:AlternateContent>
          <mc:Choice Requires="wps">
            <w:drawing>
              <wp:anchor distT="0" distB="0" distL="114300" distR="114300" simplePos="0" relativeHeight="251667456" behindDoc="0" locked="0" layoutInCell="1" allowOverlap="1">
                <wp:simplePos x="0" y="0"/>
                <wp:positionH relativeFrom="column">
                  <wp:posOffset>-62230</wp:posOffset>
                </wp:positionH>
                <wp:positionV relativeFrom="page">
                  <wp:posOffset>1198245</wp:posOffset>
                </wp:positionV>
                <wp:extent cx="6033135" cy="394335"/>
                <wp:effectExtent l="0" t="0" r="5715" b="5715"/>
                <wp:wrapTopAndBottom/>
                <wp:docPr id="1990958412" name="文本框 4"/>
                <wp:cNvGraphicFramePr/>
                <a:graphic xmlns:a="http://schemas.openxmlformats.org/drawingml/2006/main">
                  <a:graphicData uri="http://schemas.microsoft.com/office/word/2010/wordprocessingShape">
                    <wps:wsp>
                      <wps:cNvSpPr txBox="true">
                        <a:spLocks noChangeArrowheads="true"/>
                      </wps:cNvSpPr>
                      <wps:spPr bwMode="auto">
                        <a:xfrm>
                          <a:off x="0" y="0"/>
                          <a:ext cx="6033135" cy="394335"/>
                        </a:xfrm>
                        <a:prstGeom prst="rect">
                          <a:avLst/>
                        </a:prstGeom>
                        <a:gradFill rotWithShape="false">
                          <a:gsLst>
                            <a:gs pos="0">
                              <a:srgbClr val="FFFFFF"/>
                            </a:gs>
                            <a:gs pos="100000">
                              <a:srgbClr val="FFFFFF"/>
                            </a:gs>
                          </a:gsLst>
                          <a:lin ang="0"/>
                        </a:gradFill>
                        <a:ln>
                          <a:noFill/>
                        </a:ln>
                      </wps:spPr>
                      <wps:txbx>
                        <w:txbxContent>
                          <w:p>
                            <w:pPr>
                              <w:spacing w:before="156" w:beforeLines="50" w:after="156" w:afterLines="50"/>
                              <w:jc w:val="center"/>
                              <w:rPr>
                                <w:rFonts w:eastAsia="黑体"/>
                                <w:b/>
                                <w:color w:val="000000"/>
                                <w:szCs w:val="21"/>
                              </w:rPr>
                            </w:pPr>
                            <w:r>
                              <w:rPr>
                                <w:rFonts w:hint="eastAsia" w:ascii="黑体" w:hAnsi="黑体" w:eastAsia="黑体" w:cs="黑体"/>
                                <w:bCs/>
                                <w:color w:val="000000"/>
                                <w:szCs w:val="21"/>
                              </w:rPr>
                              <w:t>表C.1</w:t>
                            </w:r>
                            <w:r>
                              <w:rPr>
                                <w:rFonts w:hint="eastAsia" w:eastAsia="黑体"/>
                                <w:bCs/>
                                <w:color w:val="000000"/>
                                <w:szCs w:val="21"/>
                              </w:rPr>
                              <w:t xml:space="preserve">  土壤相关元素检测方法</w:t>
                            </w:r>
                            <w:r>
                              <w:rPr>
                                <w:rFonts w:hint="eastAsia" w:ascii="宋体" w:hAnsi="宋体" w:eastAsia="宋体"/>
                                <w:bCs/>
                                <w:color w:val="000000"/>
                                <w:szCs w:val="21"/>
                              </w:rPr>
                              <w:t>（续）</w:t>
                            </w:r>
                          </w:p>
                          <w:p/>
                        </w:txbxContent>
                      </wps:txbx>
                      <wps:bodyPr rot="0" vert="horz" wrap="square" lIns="0" tIns="0" rIns="0" bIns="0" anchor="t" anchorCtr="false" upright="true">
                        <a:noAutofit/>
                      </wps:bodyPr>
                    </wps:wsp>
                  </a:graphicData>
                </a:graphic>
              </wp:anchor>
            </w:drawing>
          </mc:Choice>
          <mc:Fallback>
            <w:pict>
              <v:shape id="文本框 4" o:spid="_x0000_s1026" o:spt="202" type="#_x0000_t202" style="position:absolute;left:0pt;margin-left:-4.9pt;margin-top:94.35pt;height:31.05pt;width:475.05pt;mso-position-vertical-relative:page;mso-wrap-distance-bottom:0pt;mso-wrap-distance-top:0pt;z-index:251667456;mso-width-relative:page;mso-height-relative:page;" fillcolor="#FFFFFF" filled="t" stroked="f" coordsize="21600,21600" o:gfxdata="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WAAAAZHJzL1BLAQIUABQAAAAIAIdO4kDOyFeE2AAA&#10;AAoBAAAPAAAAAAAAAAEAIAAAADgAAABkcnMvZG93bnJldi54bWxQSwECFAAUAAAACACHTuJAu+8E&#10;gEECAAB0BAAADgAAAAAAAAABACAAAAA9AQAAZHJzL2Uyb0RvYy54bWxQSwUGAAAAAAYABgBZAQAA&#10;8AUAAAAA&#10;">
                <v:fill type="gradient" on="t" color2="#FFFFFF" angle="90" focus="100%" focussize="0,0">
                  <o:fill type="gradientUnscaled" v:ext="backwardCompatible"/>
                </v:fill>
                <v:stroke on="f"/>
                <v:imagedata o:title=""/>
                <o:lock v:ext="edit" aspectratio="f"/>
                <v:textbox inset="0mm,0mm,0mm,0mm">
                  <w:txbxContent>
                    <w:p>
                      <w:pPr>
                        <w:spacing w:before="156" w:beforeLines="50" w:after="156" w:afterLines="50"/>
                        <w:jc w:val="center"/>
                        <w:rPr>
                          <w:rFonts w:eastAsia="黑体"/>
                          <w:b/>
                          <w:color w:val="000000"/>
                          <w:szCs w:val="21"/>
                        </w:rPr>
                      </w:pPr>
                      <w:r>
                        <w:rPr>
                          <w:rFonts w:hint="eastAsia" w:ascii="黑体" w:hAnsi="黑体" w:eastAsia="黑体" w:cs="黑体"/>
                          <w:bCs/>
                          <w:color w:val="000000"/>
                          <w:szCs w:val="21"/>
                        </w:rPr>
                        <w:t>表C.1</w:t>
                      </w:r>
                      <w:r>
                        <w:rPr>
                          <w:rFonts w:hint="eastAsia" w:eastAsia="黑体"/>
                          <w:bCs/>
                          <w:color w:val="000000"/>
                          <w:szCs w:val="21"/>
                        </w:rPr>
                        <w:t xml:space="preserve">  土壤相关元素检测方法</w:t>
                      </w:r>
                      <w:r>
                        <w:rPr>
                          <w:rFonts w:hint="eastAsia" w:ascii="宋体" w:hAnsi="宋体" w:eastAsia="宋体"/>
                          <w:bCs/>
                          <w:color w:val="000000"/>
                          <w:szCs w:val="21"/>
                        </w:rPr>
                        <w:t>（续）</w:t>
                      </w:r>
                    </w:p>
                    <w:p/>
                  </w:txbxContent>
                </v:textbox>
                <w10:wrap type="topAndBottom"/>
              </v:shape>
            </w:pict>
          </mc:Fallback>
        </mc:AlternateContent>
      </w:r>
    </w:p>
    <w:p/>
    <w:p/>
    <w:p/>
    <w:p>
      <w:pPr>
        <w:tabs>
          <w:tab w:val="left" w:pos="2574"/>
        </w:tabs>
        <w:jc w:val="left"/>
        <w:sectPr>
          <w:pgSz w:w="11906" w:h="16838"/>
          <w:pgMar w:top="1417" w:right="1134" w:bottom="1134" w:left="1418" w:header="1417" w:footer="1134" w:gutter="0"/>
          <w:cols w:space="425" w:num="1"/>
          <w:docGrid w:type="lines" w:linePitch="312" w:charSpace="0"/>
        </w:sectPr>
      </w:pPr>
      <w:r>
        <w:rPr>
          <w:rFonts w:hint="eastAsia"/>
        </w:rPr>
        <w:tab/>
      </w:r>
    </w:p>
    <w:p>
      <w:pPr>
        <w:pStyle w:val="91"/>
        <w:spacing w:before="567" w:after="283" w:afterLines="0"/>
        <w:rPr>
          <w:spacing w:val="105"/>
        </w:rPr>
      </w:pPr>
      <w:bookmarkStart w:id="99" w:name="_Toc164415091"/>
      <w:bookmarkStart w:id="100" w:name="_Toc8436"/>
      <w:bookmarkStart w:id="101" w:name="_Toc120179958"/>
      <w:r>
        <w:rPr>
          <w:rFonts w:hint="eastAsia"/>
          <w:spacing w:val="105"/>
        </w:rPr>
        <w:t>参考文献</w:t>
      </w:r>
      <w:bookmarkEnd w:id="99"/>
      <w:bookmarkEnd w:id="100"/>
      <w:bookmarkEnd w:id="101"/>
    </w:p>
    <w:p>
      <w:pPr>
        <w:pStyle w:val="83"/>
      </w:pPr>
      <w:r>
        <w:rPr>
          <w:rFonts w:hint="eastAsia"/>
        </w:rPr>
        <w:t xml:space="preserve">[1]  GB 15618-2018 土壤环境质量 农用地土壤污染风险管控标准（试行） </w:t>
      </w:r>
    </w:p>
    <w:p>
      <w:pPr>
        <w:pStyle w:val="83"/>
      </w:pPr>
      <w:r>
        <w:rPr>
          <w:rFonts w:hint="eastAsia"/>
        </w:rPr>
        <w:t xml:space="preserve">[2]  GB 36600-2018 土壤环境质量 建设用地土壤污染风险管控标准（试行） </w:t>
      </w:r>
    </w:p>
    <w:p>
      <w:pPr>
        <w:pStyle w:val="83"/>
      </w:pPr>
      <w:r>
        <w:rPr>
          <w:rFonts w:hint="eastAsia"/>
        </w:rPr>
        <w:t xml:space="preserve">[3]  GB 50068-2018 建筑结构可靠性设计统一标准 </w:t>
      </w:r>
    </w:p>
    <w:p>
      <w:pPr>
        <w:pStyle w:val="83"/>
      </w:pPr>
      <w:r>
        <w:rPr>
          <w:rFonts w:hint="eastAsia"/>
        </w:rPr>
        <w:t>[4]  DD 2019-09 生态地质调查技术要求（1∶50000）（试行）</w:t>
      </w:r>
    </w:p>
    <w:p>
      <w:pPr>
        <w:pStyle w:val="83"/>
      </w:pPr>
      <w:r>
        <w:rPr>
          <w:rFonts w:hint="eastAsia"/>
        </w:rPr>
        <w:t>[5]  HJ/T 166-2004 土壤环境监测技术规范</w:t>
      </w:r>
    </w:p>
    <w:p>
      <w:pPr>
        <w:pStyle w:val="83"/>
      </w:pPr>
      <w:r>
        <w:rPr>
          <w:rFonts w:hint="eastAsia"/>
        </w:rPr>
        <w:t xml:space="preserve">[6]  中国环境监测总站.中国土壤元素背景值[M].北京:中国环境科学出版社,1990:2-15 </w:t>
      </w:r>
    </w:p>
    <w:p>
      <w:pPr>
        <w:pStyle w:val="83"/>
      </w:pPr>
      <w:r>
        <w:rPr>
          <w:rFonts w:hint="eastAsia"/>
        </w:rPr>
        <w:t xml:space="preserve">[7]  夏增禄,李森照,李廷芳,等.土壤元素背景值及其研究方法[M].北京:气象出版社,1987:1-254 </w:t>
      </w:r>
    </w:p>
    <w:p>
      <w:pPr>
        <w:pStyle w:val="83"/>
      </w:pPr>
      <w:r>
        <w:rPr>
          <w:rFonts w:hint="eastAsia"/>
        </w:rPr>
        <w:t>[8]  骆永明,夏家淇,章海波,等.中国土壤环境质量基准与标准制定的理论和方法[M].北京:科学出版社,2015:97-103</w:t>
      </w:r>
      <w:r>
        <w:rPr>
          <w:rFonts w:hint="eastAsia"/>
        </w:rPr>
        <w:tab/>
      </w:r>
    </w:p>
    <w:p>
      <w:pPr>
        <w:tabs>
          <w:tab w:val="left" w:pos="6335"/>
        </w:tabs>
        <w:jc w:val="left"/>
        <w:rPr>
          <w:rFonts w:ascii="黑体" w:hAnsi="黑体" w:eastAsia="黑体" w:cs="黑体"/>
          <w:sz w:val="18"/>
          <w:szCs w:val="18"/>
        </w:rPr>
      </w:pPr>
      <w:r>
        <w:rPr>
          <w:rFonts w:ascii="黑体" w:hAnsi="黑体" w:eastAsia="黑体"/>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377190</wp:posOffset>
                </wp:positionV>
                <wp:extent cx="1800225" cy="0"/>
                <wp:effectExtent l="0" t="0" r="0" b="0"/>
                <wp:wrapNone/>
                <wp:docPr id="25" name="直接箭头连接符 5"/>
                <wp:cNvGraphicFramePr/>
                <a:graphic xmlns:a="http://schemas.openxmlformats.org/drawingml/2006/main">
                  <a:graphicData uri="http://schemas.microsoft.com/office/word/2010/wordprocessingShape">
                    <wps:wsp>
                      <wps:cNvCnPr>
                        <a:cxnSpLocks noChangeShapeType="true"/>
                      </wps:cNvCnPr>
                      <wps:spPr bwMode="auto">
                        <a:xfrm>
                          <a:off x="2970530" y="360553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62.75pt;margin-top:29.7pt;height:0pt;width:141.75pt;z-index:251666432;mso-width-relative:page;mso-height-relative:page;" filled="f" stroked="t" coordsize="21600,21600" o:gfxdata="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sUOSDNcAAAAJAQAADwAAAAAAAAABACAAAAA4AAAAZHJzL2Rv&#10;d25yZXYueG1sUEsBAhQAFAAAAAgAh07iQIj6j6nsAQAAjgMAAA4AAAAAAAAAAQAgAAAAPAEAAGRy&#10;cy9lMm9Eb2MueG1sUEsFBgAAAAAGAAYAWQEAAJoFAAAAAA==&#10;">
                <v:fill on="f" focussize="0,0"/>
                <v:stroke color="#000000" joinstyle="round"/>
                <v:imagedata o:title=""/>
                <o:lock v:ext="edit" aspectratio="f"/>
              </v:shape>
            </w:pict>
          </mc:Fallback>
        </mc:AlternateContent>
      </w:r>
      <w:r>
        <w:rPr>
          <w:rFonts w:hint="eastAsia"/>
        </w:rPr>
        <w:tab/>
      </w:r>
    </w:p>
    <w:sectPr>
      <w:headerReference r:id="rId23" w:type="default"/>
      <w:footerReference r:id="rId25" w:type="default"/>
      <w:headerReference r:id="rId24" w:type="even"/>
      <w:footerReference r:id="rId26" w:type="even"/>
      <w:pgSz w:w="11906" w:h="16838"/>
      <w:pgMar w:top="1417" w:right="1134" w:bottom="1134" w:left="1418" w:header="1417"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華康楷書體W5">
    <w:altName w:val="楷体"/>
    <w:panose1 w:val="00000000000000000000"/>
    <w:charset w:val="88"/>
    <w:family w:val="script"/>
    <w:pitch w:val="default"/>
    <w:sig w:usb0="00000000" w:usb1="00000000" w:usb2="00000016" w:usb3="00000000" w:csb0="00100000" w:csb1="00000000"/>
  </w:font>
  <w:font w:name="華康特粗楷體">
    <w:altName w:val="楷体"/>
    <w:panose1 w:val="00000000000000000000"/>
    <w:charset w:val="88"/>
    <w:family w:val="script"/>
    <w:pitch w:val="default"/>
    <w:sig w:usb0="00000000" w:usb1="00000000" w:usb2="00000010" w:usb3="00000000" w:csb0="00100000" w:csb1="00000000"/>
  </w:font>
  <w:font w:name="FPGGHK+TimesNewRoman,Bold">
    <w:altName w:val="宋体"/>
    <w:panose1 w:val="00000000000000000000"/>
    <w:charset w:val="86"/>
    <w:family w:val="roman"/>
    <w:pitch w:val="default"/>
    <w:sig w:usb0="00000000" w:usb1="00000000" w:usb2="00000010" w:usb3="00000000" w:csb0="00040000" w:csb1="00000000"/>
  </w:font>
  <w:font w:name="華康粗圓體">
    <w:altName w:val="宋体"/>
    <w:panose1 w:val="00000000000000000000"/>
    <w:charset w:val="88"/>
    <w:family w:val="modern"/>
    <w:pitch w:val="default"/>
    <w:sig w:usb0="00000000" w:usb1="00000000" w:usb2="00000010" w:usb3="00000000" w:csb0="00100000" w:csb1="00000000"/>
  </w:font>
  <w:font w:name="等线">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00000001" w:usb1="08000000" w:usb2="00000000" w:usb3="00000000" w:csb0="00040000" w:csb1="00000000"/>
  </w:font>
  <w:font w:name="Dotum,Bold">
    <w:altName w:val="黑体"/>
    <w:panose1 w:val="00000000000000000000"/>
    <w:charset w:val="86"/>
    <w:family w:val="auto"/>
    <w:pitch w:val="default"/>
    <w:sig w:usb0="00000000" w:usb1="00000000" w:usb2="00000010" w:usb3="00000000" w:csb0="00040000" w:csb1="00000000"/>
  </w:font>
  <w:font w:name="SimSun,Bold">
    <w:altName w:val="黑体"/>
    <w:panose1 w:val="00000000000000000000"/>
    <w:charset w:val="86"/>
    <w:family w:val="auto"/>
    <w:pitch w:val="default"/>
    <w:sig w:usb0="00000000" w:usb1="00000000" w:usb2="00000010" w:usb3="00000000" w:csb0="00040000" w:csb1="00000000"/>
  </w:font>
  <w:font w:name="Cambria Math">
    <w:altName w:val="DejaVu Math TeX Gyre"/>
    <w:panose1 w:val="02040503050406030204"/>
    <w:charset w:val="00"/>
    <w:family w:val="roman"/>
    <w:pitch w:val="default"/>
    <w:sig w:usb0="00000000" w:usb1="00000000" w:usb2="02000000" w:usb3="00000000" w:csb0="2000019F"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 w:name="DejaVu Math TeX Gyre">
    <w:panose1 w:val="02000503000000000000"/>
    <w:charset w:val="00"/>
    <w:family w:val="auto"/>
    <w:pitch w:val="default"/>
    <w:sig w:usb0="A10000EF" w:usb1="4201F9EE" w:usb2="02000000" w:usb3="00000000" w:csb0="60000193" w:csb1="0DD40000"/>
  </w:font>
  <w:font w:name="方正宋体S-超大字符集(SIP)">
    <w:panose1 w:val="03000509000000000000"/>
    <w:charset w:val="86"/>
    <w:family w:val="auto"/>
    <w:pitch w:val="default"/>
    <w:sig w:usb0="00000003" w:usb1="0A0E0800" w:usb2="00000006" w:usb3="00000000" w:csb0="00040001" w:csb1="00000000"/>
  </w:font>
  <w:font w:name="Ubuntu">
    <w:panose1 w:val="020B0604030602030204"/>
    <w:charset w:val="00"/>
    <w:family w:val="auto"/>
    <w:pitch w:val="default"/>
    <w:sig w:usb0="E00002FF" w:usb1="5000205B" w:usb2="00000000" w:usb3="00000000" w:csb0="2000009F" w:csb1="56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heme="minorEastAsia" w:hAnsiTheme="minorEastAsia"/>
      </w:rPr>
    </w:pPr>
    <w: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w:t>
                          </w:r>
                          <w:r>
                            <w:rPr>
                              <w:rFonts w:hint="eastAsia" w:asciiTheme="minorEastAsia" w:hAnsi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20"/>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w:t>
                    </w:r>
                    <w:r>
                      <w:rPr>
                        <w:rFonts w:hint="eastAsia" w:asciiTheme="minorEastAsia" w:hAnsiTheme="minorEastAsia" w:cstheme="minorEastAsia"/>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heme="minorEastAsia" w:hAnsiTheme="minorEastAsia"/>
      </w:rPr>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Gn4zeFgIAABkEAAAOAAAAZHJz&#10;L2Uyb0RvYy54bWytU8uO0zAU3SPxD5b3NGkRo07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Bp+M3hYCAAAZBAAADgAAAAAAAAABACAAAAA1AQAAZHJzL2Uyb0RvYy54bWxQSwUGAAAAAAYA&#10;BgBZAQAAvQUAAAAA&#10;">
              <v:fill on="f" focussize="0,0"/>
              <v:stroke on="f" weight="0.5pt"/>
              <v:imagedata o:title=""/>
              <o:lock v:ext="edit" aspectratio="f"/>
              <v:textbox inset="0mm,0mm,0mm,0mm" style="mso-fit-shape-to-text:t;">
                <w:txbxContent>
                  <w:p>
                    <w:pPr>
                      <w:pStyle w:val="2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2</w:t>
                    </w:r>
                    <w:r>
                      <w:rPr>
                        <w:rFonts w:hint="eastAsia" w:ascii="宋体" w:hAnsi="宋体" w:eastAsia="宋体" w:cs="宋体"/>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heme="minorEastAsia" w:hAnsiTheme="minorEastAsia"/>
      </w:rPr>
    </w:pPr>
    <w: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14</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564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Cx2BxcUAgAAGwQAAA4AAAAAAAAAAQAgAAAANQEAAGRycy9lMm9Eb2MueG1sUEsFBgAAAAAGAAYA&#10;WQEAALsFAAAAAA==&#10;">
              <v:fill on="f" focussize="0,0"/>
              <v:stroke on="f" weight="0.5pt"/>
              <v:imagedata o:title=""/>
              <o:lock v:ext="edit" aspectratio="f"/>
              <v:textbox inset="0mm,0mm,0mm,0mm" style="mso-fit-shape-to-text:t;">
                <w:txbxContent>
                  <w:p>
                    <w:pPr>
                      <w:pStyle w:val="2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14</w:t>
                    </w:r>
                    <w:r>
                      <w:rPr>
                        <w:rFonts w:hint="eastAsia" w:ascii="宋体" w:hAnsi="宋体" w:eastAsia="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heme="minorEastAsia" w:hAnsiTheme="minorEastAsia"/>
      </w:rPr>
    </w:pPr>
    <w: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667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R+mXFQIAABs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cR+mXFQIAABsEAAAOAAAAAAAAAAEAIAAAADUBAABkcnMvZTJvRG9jLnhtbFBLBQYAAAAABgAG&#10;AFkBAAC8BQAAAAA=&#10;">
              <v:fill on="f" focussize="0,0"/>
              <v:stroke on="f" weight="0.5pt"/>
              <v:imagedata o:title=""/>
              <o:lock v:ext="edit" aspectratio="f"/>
              <v:textbox inset="0mm,0mm,0mm,0mm" style="mso-fit-shape-to-text:t;">
                <w:txbxContent>
                  <w:p>
                    <w:pPr>
                      <w:pStyle w:val="20"/>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17</w:t>
                    </w:r>
                    <w:r>
                      <w:rPr>
                        <w:rFonts w:hint="eastAsia" w:ascii="宋体" w:hAnsi="宋体" w:eastAsia="宋体" w:cs="宋体"/>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heme="minorEastAsia" w:hAnsiTheme="minorEastAsia"/>
      </w:rPr>
    </w:pPr>
    <w: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9IkRNFQIAABsEAAAOAAAAAAAAAAEAIAAAADUBAABkcnMvZTJvRG9jLnhtbFBLBQYAAAAABgAG&#10;AFkBAAC8BQAAAAA=&#10;">
              <v:fill on="f" focussize="0,0"/>
              <v:stroke on="f" weight="0.5pt"/>
              <v:imagedata o:title=""/>
              <o:lock v:ext="edit" aspectratio="f"/>
              <v:textbox inset="0mm,0mm,0mm,0mm" style="mso-fit-shape-to-text:t;">
                <w:txbxContent>
                  <w:p>
                    <w:pPr>
                      <w:pStyle w:val="2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18</w:t>
                    </w:r>
                    <w:r>
                      <w:rPr>
                        <w:rFonts w:hint="eastAsia" w:ascii="宋体" w:hAnsi="宋体" w:eastAsia="宋体" w:cs="宋体"/>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heme="minorEastAsia" w:hAnsiTheme="minorEastAsia"/>
      </w:rPr>
    </w:pPr>
    <w: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19</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7m8jFQIAABsEAAAOAAAAZHJz&#10;L2Uyb0RvYy54bWytU8uO0zAU3SPxD5b3NGkRQ1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aEsM0dnT69vX0/fH04wuB&#10;DQC1LswQt3aIjN0b21U0+r0YXAH2NHonvU5fDEUQArSPF4RFFwmHcTydTKclXBy+QUGJ4ul350N8&#10;K6wmSaioxwozsuxwF+I5dAhJ1YxdNUrlNSpD2opevXxV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7m8jFQIAABsEAAAOAAAAAAAAAAEAIAAAADUBAABkcnMvZTJvRG9jLnhtbFBLBQYAAAAABgAG&#10;AFkBAAC8BQAAAAA=&#10;">
              <v:fill on="f" focussize="0,0"/>
              <v:stroke on="f" weight="0.5pt"/>
              <v:imagedata o:title=""/>
              <o:lock v:ext="edit" aspectratio="f"/>
              <v:textbox inset="0mm,0mm,0mm,0mm" style="mso-fit-shape-to-text:t;">
                <w:txbxContent>
                  <w:p>
                    <w:pPr>
                      <w:pStyle w:val="20"/>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19</w:t>
                    </w:r>
                    <w:r>
                      <w:rPr>
                        <w:rFonts w:hint="eastAsia" w:ascii="宋体" w:hAnsi="宋体" w:eastAsia="宋体" w:cs="宋体"/>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heme="minorEastAsia" w:hAnsiTheme="minorEastAsia"/>
      </w:rPr>
    </w:pPr>
    <w: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974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375LFQIAABsEAAAOAAAAZHJz&#10;L2Uyb0RvYy54bWytU8uO0zAU3SPxD5b3NGkRo1I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aEsM0dnT69vX0/fH04wuB&#10;DQC1LswQt3aIjN0b21U0+r0YXAH2NHonvU5fDEUQArSPF4RFFwmHcTydTKclXBy+QUGJ4ul350N8&#10;K6wmSaioxwozsuxwF+I5dAhJ1YxdNUrlNSpD2opevXxV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a375LFQIAABsEAAAOAAAAAAAAAAEAIAAAADUBAABkcnMvZTJvRG9jLnhtbFBLBQYAAAAABgAG&#10;AFkBAAC8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heme="minorEastAsia" w:hAnsiTheme="minorEastAsia"/>
      </w:rPr>
    </w:pPr>
    <w: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A0Tqs0UAgAAGwQAAA4AAAAAAAAAAQAgAAAANQEAAGRycy9lMm9Eb2MueG1sUEsFBgAAAAAGAAYA&#10;WQEAALs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heme="minorEastAsia" w:hAnsiTheme="minor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heme="minorEastAsia" w:hAnsiTheme="minor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heme="minorEastAsia" w:hAnsiTheme="minorEastAsia"/>
      </w:rPr>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vuix5FQIAABsEAAAOAAAAZHJz&#10;L2Uyb0RvYy54bWytU8uO0zAU3SPxD5b3NGmBUV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KEsM0dnT69vX0/fH04wuB&#10;DQC1LswQt3aIjN0b21U0+r0YXAH2NHonvU5fDEUQArSPF4RFFwmHcTydTKclXBy+QUGJ4ul350N8&#10;K6wmSaioxwozsuxwF+I5dAhJ1YxdNUrlNSpD2opevXxd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vuix5FQIAABsEAAAOAAAAAAAAAAEAIAAAADUBAABkcnMvZTJvRG9jLnhtbFBLBQYAAAAABgAG&#10;AFkBAAC8BQAAAAA=&#10;">
              <v:fill on="f" focussize="0,0"/>
              <v:stroke on="f" weight="0.5pt"/>
              <v:imagedata o:title=""/>
              <o:lock v:ext="edit" aspectratio="f"/>
              <v:textbox inset="0mm,0mm,0mm,0mm" style="mso-fit-shape-to-text:t;">
                <w:txbxContent>
                  <w:p>
                    <w:pPr>
                      <w:pStyle w:val="20"/>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heme="minorEastAsia" w:hAnsiTheme="minorEastAsia"/>
      </w:rPr>
    </w:pPr>
    <w: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II</w:t>
                          </w:r>
                          <w:r>
                            <w:rPr>
                              <w:rFonts w:hint="eastAsia" w:asciiTheme="minorEastAsia" w:hAnsi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CruUMsUAgAAGwQAAA4AAAAAAAAAAQAgAAAANQEAAGRycy9lMm9Eb2MueG1sUEsFBgAAAAAGAAYA&#10;WQEAALsFAAAAAA==&#10;">
              <v:fill on="f" focussize="0,0"/>
              <v:stroke on="f" weight="0.5pt"/>
              <v:imagedata o:title=""/>
              <o:lock v:ext="edit" aspectratio="f"/>
              <v:textbox inset="0mm,0mm,0mm,0mm" style="mso-fit-shape-to-text:t;">
                <w:txbxContent>
                  <w:p>
                    <w:pPr>
                      <w:pStyle w:val="20"/>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II</w:t>
                    </w:r>
                    <w:r>
                      <w:rPr>
                        <w:rFonts w:hint="eastAsia" w:asciiTheme="minorEastAsia" w:hAnsiTheme="minorEastAsia" w:cstheme="minor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heme="minorEastAsia" w:hAnsiTheme="minor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heme="minorEastAsia" w:hAnsiTheme="minorEastAsi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heme="minorEastAsia" w:hAnsiTheme="minorEastAsia"/>
      </w:rPr>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13</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2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13</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51"/>
        <w:rFonts w:ascii="黑体" w:hAnsi="黑体" w:eastAsia="黑体"/>
        <w:i w:val="0"/>
        <w:color w:val="808080" w:themeColor="text1" w:themeTint="80"/>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adjustRightInd w:val="0"/>
      <w:snapToGrid w:val="0"/>
      <w:spacing w:after="283"/>
      <w:jc w:val="right"/>
      <w:rPr>
        <w:rStyle w:val="51"/>
        <w:rFonts w:ascii="黑体" w:hAnsi="黑体" w:eastAsia="黑体"/>
        <w:i w:val="0"/>
        <w:color w:val="808080" w:themeColor="text1" w:themeTint="80"/>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rPr>
        <w:rFonts w:ascii="黑体" w:hAnsi="黑体" w:eastAsia="黑体"/>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rPr>
        <w:rFonts w:ascii="黑体" w:hAnsi="黑体" w:eastAsia="黑体"/>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adjustRightInd w:val="0"/>
      <w:snapToGrid w:val="0"/>
      <w:spacing w:after="283"/>
      <w:rPr>
        <w:rStyle w:val="51"/>
        <w:rFonts w:ascii="黑体" w:hAnsi="黑体" w:eastAsia="黑体"/>
        <w:i w:val="0"/>
        <w:color w:val="808080" w:themeColor="text1" w:themeTint="80"/>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rPr>
        <w:rFonts w:ascii="黑体" w:hAnsi="黑体" w:eastAsia="黑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65"/>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pStyle w:val="153"/>
      <w:suff w:val="nothing"/>
      <w:lvlText w:val="%10.%2.%3.%4.%5.%6 "/>
      <w:lvlJc w:val="left"/>
      <w:pPr>
        <w:ind w:left="0" w:firstLine="0"/>
      </w:pPr>
      <w:rPr>
        <w:rFonts w:hint="eastAsia" w:ascii="黑体" w:eastAsia="黑体" w:hAnsiTheme="minorHAnsi"/>
        <w:b w:val="0"/>
        <w:i w:val="0"/>
        <w:sz w:val="21"/>
      </w:rPr>
    </w:lvl>
    <w:lvl w:ilvl="6" w:tentative="0">
      <w:start w:val="1"/>
      <w:numFmt w:val="decimal"/>
      <w:pStyle w:val="157"/>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5EF0C26"/>
    <w:multiLevelType w:val="multilevel"/>
    <w:tmpl w:val="15EF0C26"/>
    <w:lvl w:ilvl="0" w:tentative="0">
      <w:start w:val="1"/>
      <w:numFmt w:val="lowerLetter"/>
      <w:pStyle w:val="7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17432088"/>
    <w:multiLevelType w:val="singleLevel"/>
    <w:tmpl w:val="17432088"/>
    <w:lvl w:ilvl="0" w:tentative="0">
      <w:start w:val="1"/>
      <w:numFmt w:val="bullet"/>
      <w:pStyle w:val="155"/>
      <w:lvlText w:val=""/>
      <w:lvlJc w:val="left"/>
      <w:pPr>
        <w:ind w:left="420" w:firstLine="163"/>
      </w:pPr>
      <w:rPr>
        <w:rFonts w:hint="default" w:ascii="Wingdings" w:hAnsi="Wingdings"/>
        <w:sz w:val="16"/>
        <w:szCs w:val="16"/>
      </w:rPr>
    </w:lvl>
  </w:abstractNum>
  <w:abstractNum w:abstractNumId="3">
    <w:nsid w:val="1FC91163"/>
    <w:multiLevelType w:val="multilevel"/>
    <w:tmpl w:val="1FC91163"/>
    <w:lvl w:ilvl="0" w:tentative="0">
      <w:start w:val="1"/>
      <w:numFmt w:val="decimal"/>
      <w:pStyle w:val="6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7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C5917C3"/>
    <w:multiLevelType w:val="multilevel"/>
    <w:tmpl w:val="2C5917C3"/>
    <w:lvl w:ilvl="0" w:tentative="0">
      <w:start w:val="1"/>
      <w:numFmt w:val="none"/>
      <w:pStyle w:val="122"/>
      <w:suff w:val="nothing"/>
      <w:lvlText w:val="%1——"/>
      <w:lvlJc w:val="left"/>
      <w:pPr>
        <w:ind w:left="833" w:hanging="408"/>
      </w:pPr>
      <w:rPr>
        <w:rFonts w:hint="eastAsia"/>
        <w:lang w:val="en-US"/>
      </w:rPr>
    </w:lvl>
    <w:lvl w:ilvl="1" w:tentative="0">
      <w:start w:val="1"/>
      <w:numFmt w:val="bullet"/>
      <w:pStyle w:val="72"/>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48802D1C"/>
    <w:multiLevelType w:val="multilevel"/>
    <w:tmpl w:val="48802D1C"/>
    <w:lvl w:ilvl="0" w:tentative="0">
      <w:start w:val="1"/>
      <w:numFmt w:val="upperLetter"/>
      <w:pStyle w:val="148"/>
      <w:lvlText w:val="%1"/>
      <w:lvlJc w:val="left"/>
      <w:pPr>
        <w:ind w:left="420" w:hanging="420"/>
      </w:pPr>
      <w:rPr>
        <w:rFonts w:hint="eastAsia"/>
      </w:rPr>
    </w:lvl>
    <w:lvl w:ilvl="1" w:tentative="0">
      <w:start w:val="1"/>
      <w:numFmt w:val="decimal"/>
      <w:pStyle w:val="90"/>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646260FA"/>
    <w:multiLevelType w:val="multilevel"/>
    <w:tmpl w:val="646260FA"/>
    <w:lvl w:ilvl="0" w:tentative="0">
      <w:start w:val="1"/>
      <w:numFmt w:val="decimal"/>
      <w:pStyle w:val="7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57D3FBC"/>
    <w:multiLevelType w:val="multilevel"/>
    <w:tmpl w:val="657D3FBC"/>
    <w:lvl w:ilvl="0" w:tentative="0">
      <w:start w:val="1"/>
      <w:numFmt w:val="upperLetter"/>
      <w:pStyle w:val="75"/>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89"/>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8">
    <w:nsid w:val="6CEA2025"/>
    <w:multiLevelType w:val="multilevel"/>
    <w:tmpl w:val="6CEA2025"/>
    <w:lvl w:ilvl="0" w:tentative="0">
      <w:start w:val="1"/>
      <w:numFmt w:val="none"/>
      <w:pStyle w:val="145"/>
      <w:suff w:val="nothing"/>
      <w:lvlText w:val="%1"/>
      <w:lvlJc w:val="left"/>
      <w:pPr>
        <w:ind w:left="0" w:firstLine="0"/>
      </w:pPr>
      <w:rPr>
        <w:rFonts w:hint="eastAsia"/>
      </w:rPr>
    </w:lvl>
    <w:lvl w:ilvl="1" w:tentative="0">
      <w:start w:val="1"/>
      <w:numFmt w:val="decimal"/>
      <w:pStyle w:val="82"/>
      <w:suff w:val="nothing"/>
      <w:lvlText w:val="%1%2　"/>
      <w:lvlJc w:val="left"/>
      <w:pPr>
        <w:ind w:left="2127" w:firstLine="0"/>
      </w:pPr>
      <w:rPr>
        <w:rFonts w:hint="eastAsia" w:ascii="黑体" w:eastAsia="黑体"/>
        <w:b w:val="0"/>
        <w:i w:val="0"/>
        <w:sz w:val="21"/>
      </w:rPr>
    </w:lvl>
    <w:lvl w:ilvl="2" w:tentative="0">
      <w:start w:val="1"/>
      <w:numFmt w:val="decimal"/>
      <w:pStyle w:val="81"/>
      <w:suff w:val="nothing"/>
      <w:lvlText w:val="%1%2.%3　"/>
      <w:lvlJc w:val="left"/>
      <w:pPr>
        <w:ind w:left="42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DBF04F4"/>
    <w:multiLevelType w:val="multilevel"/>
    <w:tmpl w:val="6DBF04F4"/>
    <w:lvl w:ilvl="0" w:tentative="0">
      <w:start w:val="1"/>
      <w:numFmt w:val="none"/>
      <w:pStyle w:val="7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3"/>
  </w:num>
  <w:num w:numId="3">
    <w:abstractNumId w:val="1"/>
  </w:num>
  <w:num w:numId="4">
    <w:abstractNumId w:val="4"/>
  </w:num>
  <w:num w:numId="5">
    <w:abstractNumId w:val="9"/>
  </w:num>
  <w:num w:numId="6">
    <w:abstractNumId w:val="7"/>
  </w:num>
  <w:num w:numId="7">
    <w:abstractNumId w:val="6"/>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mirrorMargins w:val="true"/>
  <w:bordersDoNotSurroundHeader w:val="true"/>
  <w:bordersDoNotSurroundFooter w:val="true"/>
  <w:documentProtection w:edit="trackedChanges" w:enforcement="0"/>
  <w:defaultTabStop w:val="420"/>
  <w:evenAndOddHeaders w:val="true"/>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JjOTdkMDk2ZTI1OWZiYzFjYTFjZDJlOTYxYjQ5ZTIifQ=="/>
    <w:docVar w:name="KSO_WPS_MARK_KEY" w:val="52548aae-2002-4139-9182-7b8689647ee4"/>
  </w:docVars>
  <w:rsids>
    <w:rsidRoot w:val="002C4A7A"/>
    <w:rsid w:val="00000C6F"/>
    <w:rsid w:val="00002D7A"/>
    <w:rsid w:val="00005817"/>
    <w:rsid w:val="00013861"/>
    <w:rsid w:val="000173A8"/>
    <w:rsid w:val="0001746B"/>
    <w:rsid w:val="00031630"/>
    <w:rsid w:val="0003782B"/>
    <w:rsid w:val="0005010E"/>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221"/>
    <w:rsid w:val="000B1AD2"/>
    <w:rsid w:val="000B5222"/>
    <w:rsid w:val="000C1F9F"/>
    <w:rsid w:val="000D3EF6"/>
    <w:rsid w:val="000D5C84"/>
    <w:rsid w:val="000E084D"/>
    <w:rsid w:val="000E4AD1"/>
    <w:rsid w:val="000F2CB4"/>
    <w:rsid w:val="000F4DA6"/>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1982"/>
    <w:rsid w:val="001720FB"/>
    <w:rsid w:val="00173651"/>
    <w:rsid w:val="0017564C"/>
    <w:rsid w:val="00175A7C"/>
    <w:rsid w:val="001760F7"/>
    <w:rsid w:val="00176E61"/>
    <w:rsid w:val="00195C90"/>
    <w:rsid w:val="0019613E"/>
    <w:rsid w:val="001A1683"/>
    <w:rsid w:val="001A2848"/>
    <w:rsid w:val="001A2A72"/>
    <w:rsid w:val="001A2CD6"/>
    <w:rsid w:val="001B007D"/>
    <w:rsid w:val="001B0CF3"/>
    <w:rsid w:val="001B3AC1"/>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275FE"/>
    <w:rsid w:val="00230CF6"/>
    <w:rsid w:val="00230F2F"/>
    <w:rsid w:val="00247720"/>
    <w:rsid w:val="00251127"/>
    <w:rsid w:val="00251550"/>
    <w:rsid w:val="002517ED"/>
    <w:rsid w:val="00253FBF"/>
    <w:rsid w:val="00262444"/>
    <w:rsid w:val="00276A28"/>
    <w:rsid w:val="002829F1"/>
    <w:rsid w:val="0028337F"/>
    <w:rsid w:val="00283CC5"/>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2F5263"/>
    <w:rsid w:val="00301D52"/>
    <w:rsid w:val="00301D6E"/>
    <w:rsid w:val="0030224A"/>
    <w:rsid w:val="00302D0D"/>
    <w:rsid w:val="003043B4"/>
    <w:rsid w:val="00304C82"/>
    <w:rsid w:val="00311B67"/>
    <w:rsid w:val="0031322E"/>
    <w:rsid w:val="00317DB9"/>
    <w:rsid w:val="0032571C"/>
    <w:rsid w:val="00327834"/>
    <w:rsid w:val="00330DE3"/>
    <w:rsid w:val="00334B35"/>
    <w:rsid w:val="00334DA4"/>
    <w:rsid w:val="00335ABA"/>
    <w:rsid w:val="00340030"/>
    <w:rsid w:val="00340CAC"/>
    <w:rsid w:val="003422C6"/>
    <w:rsid w:val="003438AA"/>
    <w:rsid w:val="00344E14"/>
    <w:rsid w:val="0034543B"/>
    <w:rsid w:val="00346C04"/>
    <w:rsid w:val="00354DAE"/>
    <w:rsid w:val="00355096"/>
    <w:rsid w:val="003568F1"/>
    <w:rsid w:val="00362FF0"/>
    <w:rsid w:val="00363BF3"/>
    <w:rsid w:val="003662BC"/>
    <w:rsid w:val="00366DB7"/>
    <w:rsid w:val="00367200"/>
    <w:rsid w:val="0037136A"/>
    <w:rsid w:val="003720DC"/>
    <w:rsid w:val="003723F5"/>
    <w:rsid w:val="00375FCF"/>
    <w:rsid w:val="00380863"/>
    <w:rsid w:val="00387FF8"/>
    <w:rsid w:val="00393266"/>
    <w:rsid w:val="003A0DBB"/>
    <w:rsid w:val="003A238B"/>
    <w:rsid w:val="003B6878"/>
    <w:rsid w:val="003C0E5B"/>
    <w:rsid w:val="003C2648"/>
    <w:rsid w:val="003C2C65"/>
    <w:rsid w:val="003C31B0"/>
    <w:rsid w:val="003D0151"/>
    <w:rsid w:val="003D13FA"/>
    <w:rsid w:val="003D1497"/>
    <w:rsid w:val="003E0580"/>
    <w:rsid w:val="003E28CE"/>
    <w:rsid w:val="003F714F"/>
    <w:rsid w:val="0040654B"/>
    <w:rsid w:val="00407B9E"/>
    <w:rsid w:val="00415A87"/>
    <w:rsid w:val="00417738"/>
    <w:rsid w:val="0042003E"/>
    <w:rsid w:val="004212D3"/>
    <w:rsid w:val="00422051"/>
    <w:rsid w:val="0042333A"/>
    <w:rsid w:val="00426BC8"/>
    <w:rsid w:val="00430DD2"/>
    <w:rsid w:val="004426FC"/>
    <w:rsid w:val="0044581A"/>
    <w:rsid w:val="00451407"/>
    <w:rsid w:val="00451847"/>
    <w:rsid w:val="00454031"/>
    <w:rsid w:val="0045451F"/>
    <w:rsid w:val="00456FB4"/>
    <w:rsid w:val="004571CE"/>
    <w:rsid w:val="004574AE"/>
    <w:rsid w:val="004610BF"/>
    <w:rsid w:val="00463EE3"/>
    <w:rsid w:val="00471508"/>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D69BD"/>
    <w:rsid w:val="004E01DA"/>
    <w:rsid w:val="004E3E2D"/>
    <w:rsid w:val="004E4186"/>
    <w:rsid w:val="004E4DE6"/>
    <w:rsid w:val="004F0C75"/>
    <w:rsid w:val="004F3DCC"/>
    <w:rsid w:val="00500D03"/>
    <w:rsid w:val="00506EF4"/>
    <w:rsid w:val="005102EF"/>
    <w:rsid w:val="00510EBE"/>
    <w:rsid w:val="005122CD"/>
    <w:rsid w:val="00520237"/>
    <w:rsid w:val="00523728"/>
    <w:rsid w:val="00524CE2"/>
    <w:rsid w:val="00527620"/>
    <w:rsid w:val="0053086A"/>
    <w:rsid w:val="00534D92"/>
    <w:rsid w:val="00536AD1"/>
    <w:rsid w:val="00540818"/>
    <w:rsid w:val="00542910"/>
    <w:rsid w:val="00546657"/>
    <w:rsid w:val="00554600"/>
    <w:rsid w:val="0055478B"/>
    <w:rsid w:val="005606B4"/>
    <w:rsid w:val="00563D0F"/>
    <w:rsid w:val="005701EA"/>
    <w:rsid w:val="00575480"/>
    <w:rsid w:val="00591331"/>
    <w:rsid w:val="005928C2"/>
    <w:rsid w:val="00596070"/>
    <w:rsid w:val="005A2C7F"/>
    <w:rsid w:val="005A4975"/>
    <w:rsid w:val="005A60AC"/>
    <w:rsid w:val="005B6D29"/>
    <w:rsid w:val="005C370B"/>
    <w:rsid w:val="005E015F"/>
    <w:rsid w:val="005E1CA7"/>
    <w:rsid w:val="005F2DCC"/>
    <w:rsid w:val="005F5CFF"/>
    <w:rsid w:val="00600F7C"/>
    <w:rsid w:val="006045C0"/>
    <w:rsid w:val="00610AF4"/>
    <w:rsid w:val="00613357"/>
    <w:rsid w:val="00616AFA"/>
    <w:rsid w:val="00621AD2"/>
    <w:rsid w:val="00626507"/>
    <w:rsid w:val="0062656D"/>
    <w:rsid w:val="00633884"/>
    <w:rsid w:val="00635FE2"/>
    <w:rsid w:val="006361A1"/>
    <w:rsid w:val="00637850"/>
    <w:rsid w:val="00640CD9"/>
    <w:rsid w:val="00646C9D"/>
    <w:rsid w:val="006476F3"/>
    <w:rsid w:val="00652199"/>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4EBE"/>
    <w:rsid w:val="006A587D"/>
    <w:rsid w:val="006A5FD0"/>
    <w:rsid w:val="006B00F8"/>
    <w:rsid w:val="006B0EDD"/>
    <w:rsid w:val="006B1960"/>
    <w:rsid w:val="006B4E4A"/>
    <w:rsid w:val="006D0145"/>
    <w:rsid w:val="006D1713"/>
    <w:rsid w:val="006D3593"/>
    <w:rsid w:val="006D384B"/>
    <w:rsid w:val="006D7F23"/>
    <w:rsid w:val="006E42DF"/>
    <w:rsid w:val="006E6B90"/>
    <w:rsid w:val="006F2FA0"/>
    <w:rsid w:val="00705B6D"/>
    <w:rsid w:val="0070744F"/>
    <w:rsid w:val="007078CB"/>
    <w:rsid w:val="00711444"/>
    <w:rsid w:val="00715542"/>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B91"/>
    <w:rsid w:val="00754A67"/>
    <w:rsid w:val="007569D0"/>
    <w:rsid w:val="00762676"/>
    <w:rsid w:val="00765047"/>
    <w:rsid w:val="007667E9"/>
    <w:rsid w:val="007747B0"/>
    <w:rsid w:val="00775703"/>
    <w:rsid w:val="0077630C"/>
    <w:rsid w:val="00777F91"/>
    <w:rsid w:val="00784961"/>
    <w:rsid w:val="00785A55"/>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60C0"/>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3465"/>
    <w:rsid w:val="008570AF"/>
    <w:rsid w:val="008601C4"/>
    <w:rsid w:val="0086279F"/>
    <w:rsid w:val="00864F8B"/>
    <w:rsid w:val="00866D54"/>
    <w:rsid w:val="00867341"/>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0365"/>
    <w:rsid w:val="008E1D3D"/>
    <w:rsid w:val="008E73CE"/>
    <w:rsid w:val="008F7846"/>
    <w:rsid w:val="00900625"/>
    <w:rsid w:val="00900D6C"/>
    <w:rsid w:val="00902C03"/>
    <w:rsid w:val="009056B3"/>
    <w:rsid w:val="00905EC8"/>
    <w:rsid w:val="00906EE2"/>
    <w:rsid w:val="00910097"/>
    <w:rsid w:val="00912AA0"/>
    <w:rsid w:val="00914E1E"/>
    <w:rsid w:val="0092183B"/>
    <w:rsid w:val="00922FAC"/>
    <w:rsid w:val="009304BF"/>
    <w:rsid w:val="00932FD3"/>
    <w:rsid w:val="00941A12"/>
    <w:rsid w:val="00941B18"/>
    <w:rsid w:val="009449CC"/>
    <w:rsid w:val="00945592"/>
    <w:rsid w:val="00952EC9"/>
    <w:rsid w:val="00953360"/>
    <w:rsid w:val="009534B7"/>
    <w:rsid w:val="00956B59"/>
    <w:rsid w:val="0095703E"/>
    <w:rsid w:val="0096181B"/>
    <w:rsid w:val="00961EC7"/>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E229D"/>
    <w:rsid w:val="009E4501"/>
    <w:rsid w:val="009F022A"/>
    <w:rsid w:val="009F25EB"/>
    <w:rsid w:val="009F4144"/>
    <w:rsid w:val="009F655E"/>
    <w:rsid w:val="00A0144F"/>
    <w:rsid w:val="00A0565D"/>
    <w:rsid w:val="00A0685D"/>
    <w:rsid w:val="00A06B8F"/>
    <w:rsid w:val="00A129D5"/>
    <w:rsid w:val="00A25BFF"/>
    <w:rsid w:val="00A26884"/>
    <w:rsid w:val="00A26C75"/>
    <w:rsid w:val="00A27283"/>
    <w:rsid w:val="00A2795C"/>
    <w:rsid w:val="00A31209"/>
    <w:rsid w:val="00A315AA"/>
    <w:rsid w:val="00A32E92"/>
    <w:rsid w:val="00A35EAE"/>
    <w:rsid w:val="00A415A9"/>
    <w:rsid w:val="00A421AD"/>
    <w:rsid w:val="00A45497"/>
    <w:rsid w:val="00A516F3"/>
    <w:rsid w:val="00A52074"/>
    <w:rsid w:val="00A561C6"/>
    <w:rsid w:val="00A62CE9"/>
    <w:rsid w:val="00A634E6"/>
    <w:rsid w:val="00A66329"/>
    <w:rsid w:val="00A7056C"/>
    <w:rsid w:val="00A713B5"/>
    <w:rsid w:val="00A72B72"/>
    <w:rsid w:val="00A73768"/>
    <w:rsid w:val="00A87B13"/>
    <w:rsid w:val="00A92BF9"/>
    <w:rsid w:val="00A96125"/>
    <w:rsid w:val="00AA0DC4"/>
    <w:rsid w:val="00AA377C"/>
    <w:rsid w:val="00AA425D"/>
    <w:rsid w:val="00AB2CAF"/>
    <w:rsid w:val="00AB64F6"/>
    <w:rsid w:val="00AC756F"/>
    <w:rsid w:val="00AD00A8"/>
    <w:rsid w:val="00AD428E"/>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2789"/>
    <w:rsid w:val="00C042FA"/>
    <w:rsid w:val="00C1161C"/>
    <w:rsid w:val="00C16AD7"/>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6812"/>
    <w:rsid w:val="00C672AB"/>
    <w:rsid w:val="00C67BC0"/>
    <w:rsid w:val="00C7008A"/>
    <w:rsid w:val="00C70D8D"/>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E7901"/>
    <w:rsid w:val="00CF2291"/>
    <w:rsid w:val="00D055E6"/>
    <w:rsid w:val="00D069E0"/>
    <w:rsid w:val="00D11E2B"/>
    <w:rsid w:val="00D137EA"/>
    <w:rsid w:val="00D169F2"/>
    <w:rsid w:val="00D20D83"/>
    <w:rsid w:val="00D2420F"/>
    <w:rsid w:val="00D256C0"/>
    <w:rsid w:val="00D32A80"/>
    <w:rsid w:val="00D403C5"/>
    <w:rsid w:val="00D4585F"/>
    <w:rsid w:val="00D47CAE"/>
    <w:rsid w:val="00D50BA3"/>
    <w:rsid w:val="00D51190"/>
    <w:rsid w:val="00D53255"/>
    <w:rsid w:val="00D6138F"/>
    <w:rsid w:val="00D624B9"/>
    <w:rsid w:val="00D6371B"/>
    <w:rsid w:val="00D642F5"/>
    <w:rsid w:val="00D7138D"/>
    <w:rsid w:val="00D7526C"/>
    <w:rsid w:val="00D77234"/>
    <w:rsid w:val="00D80501"/>
    <w:rsid w:val="00D81394"/>
    <w:rsid w:val="00D85470"/>
    <w:rsid w:val="00D86D72"/>
    <w:rsid w:val="00D914B1"/>
    <w:rsid w:val="00D91668"/>
    <w:rsid w:val="00D95E0B"/>
    <w:rsid w:val="00D965AB"/>
    <w:rsid w:val="00D965BD"/>
    <w:rsid w:val="00DA7326"/>
    <w:rsid w:val="00DB3696"/>
    <w:rsid w:val="00DB4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166A9"/>
    <w:rsid w:val="00E20A7B"/>
    <w:rsid w:val="00E22829"/>
    <w:rsid w:val="00E24B15"/>
    <w:rsid w:val="00E3004D"/>
    <w:rsid w:val="00E31B6C"/>
    <w:rsid w:val="00E3509B"/>
    <w:rsid w:val="00E3537D"/>
    <w:rsid w:val="00E36C78"/>
    <w:rsid w:val="00E401C4"/>
    <w:rsid w:val="00E42F0F"/>
    <w:rsid w:val="00E45044"/>
    <w:rsid w:val="00E459CF"/>
    <w:rsid w:val="00E504BD"/>
    <w:rsid w:val="00E537D1"/>
    <w:rsid w:val="00E55655"/>
    <w:rsid w:val="00E621A8"/>
    <w:rsid w:val="00E634E2"/>
    <w:rsid w:val="00E72AA8"/>
    <w:rsid w:val="00E72BBB"/>
    <w:rsid w:val="00E81B66"/>
    <w:rsid w:val="00E8389F"/>
    <w:rsid w:val="00E84983"/>
    <w:rsid w:val="00E871A0"/>
    <w:rsid w:val="00E90FDD"/>
    <w:rsid w:val="00E91C59"/>
    <w:rsid w:val="00E96805"/>
    <w:rsid w:val="00EA115D"/>
    <w:rsid w:val="00EB1109"/>
    <w:rsid w:val="00EB2C29"/>
    <w:rsid w:val="00EB2DBC"/>
    <w:rsid w:val="00EB3505"/>
    <w:rsid w:val="00EB3E6D"/>
    <w:rsid w:val="00EB474D"/>
    <w:rsid w:val="00EB5D5A"/>
    <w:rsid w:val="00EB6A2C"/>
    <w:rsid w:val="00EC1078"/>
    <w:rsid w:val="00EC6E3E"/>
    <w:rsid w:val="00ED25AF"/>
    <w:rsid w:val="00ED3E70"/>
    <w:rsid w:val="00ED4091"/>
    <w:rsid w:val="00ED5E11"/>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65FDA"/>
    <w:rsid w:val="00F7039A"/>
    <w:rsid w:val="00F71261"/>
    <w:rsid w:val="00F74A9C"/>
    <w:rsid w:val="00F770EC"/>
    <w:rsid w:val="00F7776A"/>
    <w:rsid w:val="00F80F00"/>
    <w:rsid w:val="00F86029"/>
    <w:rsid w:val="00F86159"/>
    <w:rsid w:val="00F87873"/>
    <w:rsid w:val="00F936A8"/>
    <w:rsid w:val="00F9473B"/>
    <w:rsid w:val="00F95647"/>
    <w:rsid w:val="00FA7729"/>
    <w:rsid w:val="00FB004C"/>
    <w:rsid w:val="00FB2A20"/>
    <w:rsid w:val="00FB2C86"/>
    <w:rsid w:val="00FB5098"/>
    <w:rsid w:val="00FB5530"/>
    <w:rsid w:val="00FC4373"/>
    <w:rsid w:val="00FC741B"/>
    <w:rsid w:val="00FC7C26"/>
    <w:rsid w:val="00FD0995"/>
    <w:rsid w:val="00FD4916"/>
    <w:rsid w:val="00FD5BCD"/>
    <w:rsid w:val="00FD6E30"/>
    <w:rsid w:val="00FE06BE"/>
    <w:rsid w:val="00FE26D3"/>
    <w:rsid w:val="00FE6BAA"/>
    <w:rsid w:val="00FE7CB2"/>
    <w:rsid w:val="00FF2E8A"/>
    <w:rsid w:val="00FF47E6"/>
    <w:rsid w:val="01B97F5E"/>
    <w:rsid w:val="02670DCF"/>
    <w:rsid w:val="034D2939"/>
    <w:rsid w:val="043164D2"/>
    <w:rsid w:val="04DB69C7"/>
    <w:rsid w:val="056C2AC8"/>
    <w:rsid w:val="078D3A1F"/>
    <w:rsid w:val="08D94A4A"/>
    <w:rsid w:val="09332050"/>
    <w:rsid w:val="09652865"/>
    <w:rsid w:val="097D3D26"/>
    <w:rsid w:val="0ADA2F69"/>
    <w:rsid w:val="0AE10BBF"/>
    <w:rsid w:val="0B4B7E79"/>
    <w:rsid w:val="0BBA5614"/>
    <w:rsid w:val="0BBD0185"/>
    <w:rsid w:val="0D011260"/>
    <w:rsid w:val="0EB55FAD"/>
    <w:rsid w:val="10F22B45"/>
    <w:rsid w:val="11EA4A5D"/>
    <w:rsid w:val="123426ED"/>
    <w:rsid w:val="1330335A"/>
    <w:rsid w:val="13492913"/>
    <w:rsid w:val="14AB42D7"/>
    <w:rsid w:val="159863B1"/>
    <w:rsid w:val="1614131D"/>
    <w:rsid w:val="16B6476F"/>
    <w:rsid w:val="1986454E"/>
    <w:rsid w:val="19BD2F50"/>
    <w:rsid w:val="19D653D3"/>
    <w:rsid w:val="19E576EB"/>
    <w:rsid w:val="1A9F3EA8"/>
    <w:rsid w:val="1AF62448"/>
    <w:rsid w:val="1CE617B0"/>
    <w:rsid w:val="1D475092"/>
    <w:rsid w:val="1E901E0D"/>
    <w:rsid w:val="1EFC4C0E"/>
    <w:rsid w:val="1F3709E9"/>
    <w:rsid w:val="1F5511FE"/>
    <w:rsid w:val="1F791B4A"/>
    <w:rsid w:val="1FF922F7"/>
    <w:rsid w:val="203A6C9D"/>
    <w:rsid w:val="235D1A58"/>
    <w:rsid w:val="23893375"/>
    <w:rsid w:val="23D049E7"/>
    <w:rsid w:val="24F31A54"/>
    <w:rsid w:val="262E49A9"/>
    <w:rsid w:val="291C47AB"/>
    <w:rsid w:val="299E589B"/>
    <w:rsid w:val="29DD2289"/>
    <w:rsid w:val="2A9E6EDA"/>
    <w:rsid w:val="2AC259E9"/>
    <w:rsid w:val="2D1833B1"/>
    <w:rsid w:val="2F033AB7"/>
    <w:rsid w:val="2FC604F2"/>
    <w:rsid w:val="30512DC8"/>
    <w:rsid w:val="305807BF"/>
    <w:rsid w:val="30BA0FA5"/>
    <w:rsid w:val="32697E49"/>
    <w:rsid w:val="33AA1530"/>
    <w:rsid w:val="355276CD"/>
    <w:rsid w:val="37875802"/>
    <w:rsid w:val="397A5D84"/>
    <w:rsid w:val="3A38257A"/>
    <w:rsid w:val="3A773D1D"/>
    <w:rsid w:val="3B337E5E"/>
    <w:rsid w:val="3C153A08"/>
    <w:rsid w:val="3D6F398A"/>
    <w:rsid w:val="3D9E1027"/>
    <w:rsid w:val="3E2F69B3"/>
    <w:rsid w:val="3E6447D3"/>
    <w:rsid w:val="3FCB4391"/>
    <w:rsid w:val="407103DB"/>
    <w:rsid w:val="41DD26A1"/>
    <w:rsid w:val="432D5ADB"/>
    <w:rsid w:val="455B5C08"/>
    <w:rsid w:val="459E4A6E"/>
    <w:rsid w:val="45E5444B"/>
    <w:rsid w:val="46024881"/>
    <w:rsid w:val="46432AD9"/>
    <w:rsid w:val="48C6265B"/>
    <w:rsid w:val="491679AE"/>
    <w:rsid w:val="49EF7B07"/>
    <w:rsid w:val="4CC8541E"/>
    <w:rsid w:val="4D7C7F66"/>
    <w:rsid w:val="4E497F1B"/>
    <w:rsid w:val="4E72372F"/>
    <w:rsid w:val="4E826BA1"/>
    <w:rsid w:val="4FB262DF"/>
    <w:rsid w:val="502913D8"/>
    <w:rsid w:val="506A1CDA"/>
    <w:rsid w:val="513145D7"/>
    <w:rsid w:val="51DB264E"/>
    <w:rsid w:val="52013E99"/>
    <w:rsid w:val="52884ADC"/>
    <w:rsid w:val="54EF45B2"/>
    <w:rsid w:val="561C68FE"/>
    <w:rsid w:val="56FA05E0"/>
    <w:rsid w:val="57205312"/>
    <w:rsid w:val="575B4970"/>
    <w:rsid w:val="58953240"/>
    <w:rsid w:val="597102CD"/>
    <w:rsid w:val="5AA42EE1"/>
    <w:rsid w:val="5ADD04B0"/>
    <w:rsid w:val="5AF33FDE"/>
    <w:rsid w:val="5BC27CFD"/>
    <w:rsid w:val="5CDA3BD7"/>
    <w:rsid w:val="5E127A94"/>
    <w:rsid w:val="5EC2103E"/>
    <w:rsid w:val="5F3651D2"/>
    <w:rsid w:val="61E0223F"/>
    <w:rsid w:val="62275A9D"/>
    <w:rsid w:val="623D62AA"/>
    <w:rsid w:val="62A274F4"/>
    <w:rsid w:val="63473BF7"/>
    <w:rsid w:val="64490C49"/>
    <w:rsid w:val="66832C22"/>
    <w:rsid w:val="67451519"/>
    <w:rsid w:val="68706054"/>
    <w:rsid w:val="688A0DE6"/>
    <w:rsid w:val="68917B90"/>
    <w:rsid w:val="68F02F9E"/>
    <w:rsid w:val="691D1DC4"/>
    <w:rsid w:val="69CF4947"/>
    <w:rsid w:val="6A4626EF"/>
    <w:rsid w:val="6A7C706D"/>
    <w:rsid w:val="6ADF74D7"/>
    <w:rsid w:val="6BCA186A"/>
    <w:rsid w:val="6C0563E5"/>
    <w:rsid w:val="6C6C0C3F"/>
    <w:rsid w:val="6C89702F"/>
    <w:rsid w:val="6C917B8F"/>
    <w:rsid w:val="6DAD049D"/>
    <w:rsid w:val="6ECD387A"/>
    <w:rsid w:val="6F2F03DB"/>
    <w:rsid w:val="6FF139B8"/>
    <w:rsid w:val="70064409"/>
    <w:rsid w:val="72127AC6"/>
    <w:rsid w:val="748E5C99"/>
    <w:rsid w:val="74BF2C7A"/>
    <w:rsid w:val="75102345"/>
    <w:rsid w:val="75682D8E"/>
    <w:rsid w:val="75A31161"/>
    <w:rsid w:val="75D25B10"/>
    <w:rsid w:val="76442929"/>
    <w:rsid w:val="76C27A63"/>
    <w:rsid w:val="795409C4"/>
    <w:rsid w:val="7A044AE5"/>
    <w:rsid w:val="7AF60F49"/>
    <w:rsid w:val="7BBE3424"/>
    <w:rsid w:val="7E0328BC"/>
    <w:rsid w:val="7FAC1FBF"/>
    <w:rsid w:val="7FF57E3F"/>
    <w:rsid w:val="FBFE5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7"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8"/>
    <w:qFormat/>
    <w:uiPriority w:val="0"/>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54"/>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0"/>
    <w:unhideWhenUsed/>
    <w:qFormat/>
    <w:uiPriority w:val="0"/>
    <w:pPr>
      <w:keepNext/>
      <w:keepLines/>
      <w:spacing w:before="260" w:after="260" w:line="416" w:lineRule="auto"/>
      <w:outlineLvl w:val="2"/>
    </w:pPr>
    <w:rPr>
      <w:b/>
      <w:bCs/>
      <w:sz w:val="32"/>
      <w:szCs w:val="32"/>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6">
    <w:name w:val="toc 7"/>
    <w:basedOn w:val="1"/>
    <w:next w:val="1"/>
    <w:semiHidden/>
    <w:qFormat/>
    <w:uiPriority w:val="0"/>
    <w:pPr>
      <w:ind w:left="1260"/>
      <w:jc w:val="left"/>
    </w:pPr>
    <w:rPr>
      <w:rFonts w:ascii="Times New Roman" w:hAnsi="Times New Roman" w:eastAsia="宋体" w:cs="Times New Roman"/>
      <w:sz w:val="18"/>
      <w:szCs w:val="18"/>
    </w:rPr>
  </w:style>
  <w:style w:type="paragraph" w:styleId="7">
    <w:name w:val="Normal Indent"/>
    <w:basedOn w:val="1"/>
    <w:next w:val="8"/>
    <w:qFormat/>
    <w:uiPriority w:val="0"/>
    <w:pPr>
      <w:ind w:firstLine="420"/>
    </w:pPr>
  </w:style>
  <w:style w:type="paragraph" w:styleId="8">
    <w:name w:val="envelope return"/>
    <w:basedOn w:val="1"/>
    <w:qFormat/>
    <w:uiPriority w:val="0"/>
    <w:pPr>
      <w:snapToGrid w:val="0"/>
    </w:pPr>
    <w:rPr>
      <w:rFonts w:ascii="Arial" w:hAnsi="Arial" w:eastAsia="仿宋_GB2312"/>
      <w:sz w:val="32"/>
    </w:rPr>
  </w:style>
  <w:style w:type="paragraph" w:styleId="9">
    <w:name w:val="caption"/>
    <w:basedOn w:val="1"/>
    <w:next w:val="1"/>
    <w:qFormat/>
    <w:uiPriority w:val="0"/>
    <w:pPr>
      <w:spacing w:before="156" w:beforeLines="50" w:after="156" w:afterLines="50"/>
      <w:jc w:val="center"/>
    </w:pPr>
    <w:rPr>
      <w:rFonts w:ascii="Times New Roman" w:hAnsi="Times New Roman" w:eastAsia="仿宋_GB2312" w:cs="Times New Roman"/>
      <w:b/>
      <w:sz w:val="24"/>
      <w:szCs w:val="28"/>
    </w:rPr>
  </w:style>
  <w:style w:type="paragraph" w:styleId="10">
    <w:name w:val="Document Map"/>
    <w:basedOn w:val="1"/>
    <w:link w:val="93"/>
    <w:qFormat/>
    <w:uiPriority w:val="0"/>
    <w:rPr>
      <w:rFonts w:ascii="宋体" w:hAnsi="Times New Roman" w:eastAsia="宋体" w:cs="Times New Roman"/>
      <w:sz w:val="18"/>
      <w:szCs w:val="18"/>
    </w:rPr>
  </w:style>
  <w:style w:type="paragraph" w:styleId="11">
    <w:name w:val="annotation text"/>
    <w:basedOn w:val="1"/>
    <w:link w:val="99"/>
    <w:semiHidden/>
    <w:unhideWhenUsed/>
    <w:qFormat/>
    <w:uiPriority w:val="0"/>
    <w:pPr>
      <w:jc w:val="left"/>
    </w:pPr>
  </w:style>
  <w:style w:type="paragraph" w:styleId="12">
    <w:name w:val="Body Text Indent"/>
    <w:basedOn w:val="1"/>
    <w:link w:val="95"/>
    <w:qFormat/>
    <w:uiPriority w:val="0"/>
    <w:pPr>
      <w:spacing w:line="400" w:lineRule="exact"/>
      <w:ind w:firstLine="435"/>
    </w:pPr>
    <w:rPr>
      <w:rFonts w:ascii="Times New Roman" w:hAnsi="Times New Roman" w:eastAsia="宋体" w:cs="Times New Roman"/>
      <w:szCs w:val="24"/>
    </w:rPr>
  </w:style>
  <w:style w:type="paragraph" w:styleId="13">
    <w:name w:val="toc 5"/>
    <w:basedOn w:val="1"/>
    <w:next w:val="1"/>
    <w:semiHidden/>
    <w:qFormat/>
    <w:uiPriority w:val="0"/>
    <w:pPr>
      <w:ind w:left="840"/>
      <w:jc w:val="left"/>
    </w:pPr>
    <w:rPr>
      <w:rFonts w:ascii="Times New Roman" w:hAnsi="Times New Roman" w:eastAsia="宋体" w:cs="Times New Roman"/>
      <w:sz w:val="18"/>
      <w:szCs w:val="18"/>
    </w:rPr>
  </w:style>
  <w:style w:type="paragraph" w:styleId="14">
    <w:name w:val="toc 3"/>
    <w:basedOn w:val="1"/>
    <w:next w:val="1"/>
    <w:unhideWhenUsed/>
    <w:qFormat/>
    <w:uiPriority w:val="39"/>
    <w:pPr>
      <w:ind w:left="840" w:leftChars="400"/>
    </w:pPr>
  </w:style>
  <w:style w:type="paragraph" w:styleId="15">
    <w:name w:val="Plain Text"/>
    <w:basedOn w:val="1"/>
    <w:link w:val="96"/>
    <w:qFormat/>
    <w:uiPriority w:val="0"/>
    <w:rPr>
      <w:rFonts w:ascii="宋体" w:hAnsi="Courier New" w:eastAsia="宋体" w:cs="Times New Roman"/>
      <w:szCs w:val="21"/>
    </w:rPr>
  </w:style>
  <w:style w:type="paragraph" w:styleId="16">
    <w:name w:val="toc 8"/>
    <w:basedOn w:val="1"/>
    <w:next w:val="1"/>
    <w:semiHidden/>
    <w:qFormat/>
    <w:uiPriority w:val="0"/>
    <w:pPr>
      <w:ind w:left="1470"/>
      <w:jc w:val="left"/>
    </w:pPr>
    <w:rPr>
      <w:rFonts w:ascii="Times New Roman" w:hAnsi="Times New Roman" w:eastAsia="宋体" w:cs="Times New Roman"/>
      <w:sz w:val="18"/>
      <w:szCs w:val="18"/>
    </w:rPr>
  </w:style>
  <w:style w:type="paragraph" w:styleId="17">
    <w:name w:val="Date"/>
    <w:basedOn w:val="1"/>
    <w:next w:val="1"/>
    <w:link w:val="62"/>
    <w:unhideWhenUsed/>
    <w:qFormat/>
    <w:uiPriority w:val="0"/>
    <w:pPr>
      <w:ind w:left="100" w:leftChars="2500"/>
    </w:pPr>
  </w:style>
  <w:style w:type="paragraph" w:styleId="18">
    <w:name w:val="Body Text Indent 2"/>
    <w:basedOn w:val="1"/>
    <w:link w:val="55"/>
    <w:qFormat/>
    <w:uiPriority w:val="0"/>
    <w:pPr>
      <w:spacing w:line="276" w:lineRule="auto"/>
      <w:ind w:firstLine="420" w:firstLineChars="200"/>
    </w:pPr>
    <w:rPr>
      <w:rFonts w:ascii="宋体" w:hAnsi="宋体" w:eastAsia="宋体" w:cs="Times New Roman"/>
      <w:snapToGrid w:val="0"/>
      <w:kern w:val="0"/>
      <w:szCs w:val="24"/>
    </w:rPr>
  </w:style>
  <w:style w:type="paragraph" w:styleId="19">
    <w:name w:val="Balloon Text"/>
    <w:basedOn w:val="1"/>
    <w:link w:val="44"/>
    <w:semiHidden/>
    <w:unhideWhenUsed/>
    <w:qFormat/>
    <w:uiPriority w:val="0"/>
    <w:rPr>
      <w:sz w:val="18"/>
      <w:szCs w:val="18"/>
    </w:rPr>
  </w:style>
  <w:style w:type="paragraph" w:styleId="20">
    <w:name w:val="footer"/>
    <w:basedOn w:val="1"/>
    <w:link w:val="43"/>
    <w:unhideWhenUsed/>
    <w:qFormat/>
    <w:uiPriority w:val="99"/>
    <w:pPr>
      <w:tabs>
        <w:tab w:val="center" w:pos="4153"/>
        <w:tab w:val="right" w:pos="8306"/>
      </w:tabs>
      <w:snapToGrid w:val="0"/>
      <w:jc w:val="left"/>
    </w:pPr>
    <w:rPr>
      <w:sz w:val="18"/>
      <w:szCs w:val="18"/>
    </w:rPr>
  </w:style>
  <w:style w:type="paragraph" w:styleId="21">
    <w:name w:val="header"/>
    <w:basedOn w:val="1"/>
    <w:link w:val="42"/>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link w:val="97"/>
    <w:unhideWhenUsed/>
    <w:qFormat/>
    <w:uiPriority w:val="39"/>
  </w:style>
  <w:style w:type="paragraph" w:styleId="23">
    <w:name w:val="toc 4"/>
    <w:basedOn w:val="1"/>
    <w:next w:val="1"/>
    <w:semiHidden/>
    <w:qFormat/>
    <w:uiPriority w:val="0"/>
    <w:pPr>
      <w:ind w:left="630"/>
      <w:jc w:val="left"/>
    </w:pPr>
    <w:rPr>
      <w:rFonts w:ascii="Times New Roman" w:hAnsi="Times New Roman" w:eastAsia="宋体" w:cs="Times New Roman"/>
      <w:sz w:val="18"/>
      <w:szCs w:val="18"/>
    </w:rPr>
  </w:style>
  <w:style w:type="paragraph" w:styleId="24">
    <w:name w:val="Subtitle"/>
    <w:basedOn w:val="1"/>
    <w:next w:val="1"/>
    <w:link w:val="52"/>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25">
    <w:name w:val="footnote text"/>
    <w:basedOn w:val="1"/>
    <w:link w:val="98"/>
    <w:semiHidden/>
    <w:qFormat/>
    <w:uiPriority w:val="0"/>
    <w:pPr>
      <w:snapToGrid w:val="0"/>
      <w:jc w:val="left"/>
    </w:pPr>
    <w:rPr>
      <w:rFonts w:ascii="Times New Roman" w:hAnsi="Times New Roman" w:eastAsia="宋体" w:cs="Times New Roman"/>
      <w:kern w:val="10"/>
      <w:sz w:val="18"/>
      <w:szCs w:val="18"/>
    </w:rPr>
  </w:style>
  <w:style w:type="paragraph" w:styleId="26">
    <w:name w:val="toc 6"/>
    <w:basedOn w:val="1"/>
    <w:next w:val="1"/>
    <w:semiHidden/>
    <w:qFormat/>
    <w:uiPriority w:val="0"/>
    <w:pPr>
      <w:ind w:left="1050"/>
      <w:jc w:val="left"/>
    </w:pPr>
    <w:rPr>
      <w:rFonts w:ascii="Times New Roman" w:hAnsi="Times New Roman" w:eastAsia="宋体" w:cs="Times New Roman"/>
      <w:sz w:val="18"/>
      <w:szCs w:val="18"/>
    </w:rPr>
  </w:style>
  <w:style w:type="paragraph" w:styleId="27">
    <w:name w:val="toc 2"/>
    <w:basedOn w:val="1"/>
    <w:next w:val="1"/>
    <w:unhideWhenUsed/>
    <w:qFormat/>
    <w:uiPriority w:val="39"/>
    <w:pPr>
      <w:tabs>
        <w:tab w:val="right" w:leader="dot" w:pos="9344"/>
      </w:tabs>
      <w:ind w:left="420" w:leftChars="200"/>
    </w:pPr>
  </w:style>
  <w:style w:type="paragraph" w:styleId="28">
    <w:name w:val="toc 9"/>
    <w:basedOn w:val="1"/>
    <w:next w:val="1"/>
    <w:semiHidden/>
    <w:qFormat/>
    <w:uiPriority w:val="0"/>
    <w:pPr>
      <w:ind w:left="1680"/>
      <w:jc w:val="left"/>
    </w:pPr>
    <w:rPr>
      <w:rFonts w:ascii="Times New Roman" w:hAnsi="Times New Roman" w:eastAsia="宋体" w:cs="Times New Roman"/>
      <w:sz w:val="18"/>
      <w:szCs w:val="18"/>
    </w:rPr>
  </w:style>
  <w:style w:type="paragraph" w:styleId="29">
    <w:name w:val="Message Header"/>
    <w:basedOn w:val="1"/>
    <w:link w:val="92"/>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cs="Times New Roman"/>
      <w:sz w:val="24"/>
      <w:szCs w:val="24"/>
    </w:rPr>
  </w:style>
  <w:style w:type="paragraph" w:styleId="30">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1">
    <w:name w:val="Title"/>
    <w:basedOn w:val="1"/>
    <w:next w:val="1"/>
    <w:link w:val="53"/>
    <w:qFormat/>
    <w:uiPriority w:val="10"/>
    <w:pPr>
      <w:spacing w:before="240" w:after="60"/>
      <w:jc w:val="center"/>
      <w:outlineLvl w:val="0"/>
    </w:pPr>
    <w:rPr>
      <w:rFonts w:eastAsia="宋体" w:asciiTheme="majorHAnsi" w:hAnsiTheme="majorHAnsi" w:cstheme="majorBidi"/>
      <w:b/>
      <w:bCs/>
      <w:sz w:val="32"/>
      <w:szCs w:val="32"/>
    </w:rPr>
  </w:style>
  <w:style w:type="paragraph" w:styleId="32">
    <w:name w:val="annotation subject"/>
    <w:basedOn w:val="11"/>
    <w:next w:val="11"/>
    <w:link w:val="100"/>
    <w:qFormat/>
    <w:uiPriority w:val="0"/>
    <w:rPr>
      <w:rFonts w:ascii="Times New Roman" w:hAnsi="Times New Roman" w:eastAsia="宋体" w:cs="Times New Roman"/>
      <w:b/>
      <w:bCs/>
      <w:szCs w:val="24"/>
    </w:rPr>
  </w:style>
  <w:style w:type="table" w:styleId="34">
    <w:name w:val="Table Grid"/>
    <w:basedOn w:val="33"/>
    <w:qFormat/>
    <w:uiPriority w:val="37"/>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page number"/>
    <w:semiHidden/>
    <w:qFormat/>
    <w:uiPriority w:val="0"/>
    <w:rPr>
      <w:rFonts w:ascii="Times New Roman" w:hAnsi="Times New Roman" w:eastAsia="宋体"/>
      <w:sz w:val="18"/>
    </w:rPr>
  </w:style>
  <w:style w:type="character" w:styleId="37">
    <w:name w:val="Emphasis"/>
    <w:qFormat/>
    <w:uiPriority w:val="0"/>
    <w:rPr>
      <w:i/>
    </w:rPr>
  </w:style>
  <w:style w:type="character" w:styleId="38">
    <w:name w:val="Hyperlink"/>
    <w:basedOn w:val="35"/>
    <w:unhideWhenUsed/>
    <w:qFormat/>
    <w:uiPriority w:val="99"/>
    <w:rPr>
      <w:color w:val="0000FF" w:themeColor="hyperlink"/>
      <w:u w:val="single"/>
      <w14:textFill>
        <w14:solidFill>
          <w14:schemeClr w14:val="hlink"/>
        </w14:solidFill>
      </w14:textFill>
    </w:rPr>
  </w:style>
  <w:style w:type="character" w:styleId="39">
    <w:name w:val="annotation reference"/>
    <w:basedOn w:val="35"/>
    <w:unhideWhenUsed/>
    <w:qFormat/>
    <w:uiPriority w:val="0"/>
    <w:rPr>
      <w:sz w:val="21"/>
      <w:szCs w:val="21"/>
    </w:rPr>
  </w:style>
  <w:style w:type="character" w:customStyle="1" w:styleId="40">
    <w:name w:val="标题 3 Char"/>
    <w:basedOn w:val="35"/>
    <w:link w:val="5"/>
    <w:semiHidden/>
    <w:qFormat/>
    <w:uiPriority w:val="9"/>
    <w:rPr>
      <w:b/>
      <w:bCs/>
      <w:sz w:val="32"/>
      <w:szCs w:val="32"/>
    </w:rPr>
  </w:style>
  <w:style w:type="paragraph" w:customStyle="1" w:styleId="41">
    <w:name w:val="3级标题"/>
    <w:basedOn w:val="1"/>
    <w:qFormat/>
    <w:uiPriority w:val="0"/>
    <w:pPr>
      <w:spacing w:before="260" w:after="120"/>
      <w:ind w:left="210" w:leftChars="100" w:right="100" w:rightChars="100"/>
      <w:jc w:val="left"/>
      <w:outlineLvl w:val="2"/>
    </w:pPr>
    <w:rPr>
      <w:rFonts w:ascii="Times New Roman" w:hAnsi="Times New Roman" w:eastAsia="宋体" w:cs="Times New Roman"/>
      <w:b/>
      <w:kern w:val="10"/>
      <w:szCs w:val="15"/>
    </w:rPr>
  </w:style>
  <w:style w:type="character" w:customStyle="1" w:styleId="42">
    <w:name w:val="页眉 Char"/>
    <w:basedOn w:val="35"/>
    <w:link w:val="21"/>
    <w:qFormat/>
    <w:uiPriority w:val="99"/>
    <w:rPr>
      <w:sz w:val="18"/>
      <w:szCs w:val="18"/>
    </w:rPr>
  </w:style>
  <w:style w:type="character" w:customStyle="1" w:styleId="43">
    <w:name w:val="页脚 Char"/>
    <w:basedOn w:val="35"/>
    <w:link w:val="20"/>
    <w:qFormat/>
    <w:uiPriority w:val="99"/>
    <w:rPr>
      <w:sz w:val="18"/>
      <w:szCs w:val="18"/>
    </w:rPr>
  </w:style>
  <w:style w:type="character" w:customStyle="1" w:styleId="44">
    <w:name w:val="批注框文本 Char"/>
    <w:basedOn w:val="35"/>
    <w:link w:val="19"/>
    <w:semiHidden/>
    <w:qFormat/>
    <w:uiPriority w:val="99"/>
    <w:rPr>
      <w:sz w:val="18"/>
      <w:szCs w:val="18"/>
    </w:rPr>
  </w:style>
  <w:style w:type="paragraph" w:styleId="45">
    <w:name w:val="List Paragraph"/>
    <w:basedOn w:val="1"/>
    <w:qFormat/>
    <w:uiPriority w:val="34"/>
    <w:pPr>
      <w:ind w:firstLine="420" w:firstLineChars="200"/>
    </w:pPr>
  </w:style>
  <w:style w:type="paragraph" w:customStyle="1" w:styleId="4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7">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48">
    <w:name w:val="标题 1 Char"/>
    <w:basedOn w:val="35"/>
    <w:link w:val="3"/>
    <w:qFormat/>
    <w:uiPriority w:val="0"/>
    <w:rPr>
      <w:rFonts w:ascii="Calibri" w:hAnsi="Calibri" w:eastAsia="宋体" w:cs="Times New Roman"/>
      <w:b/>
      <w:bCs/>
      <w:kern w:val="44"/>
      <w:sz w:val="44"/>
      <w:szCs w:val="44"/>
    </w:rPr>
  </w:style>
  <w:style w:type="paragraph" w:styleId="4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51">
    <w:name w:val="不明显强调1"/>
    <w:basedOn w:val="35"/>
    <w:qFormat/>
    <w:uiPriority w:val="19"/>
    <w:rPr>
      <w:i/>
      <w:iCs/>
      <w:color w:val="808080" w:themeColor="text1" w:themeTint="80"/>
      <w14:textFill>
        <w14:solidFill>
          <w14:schemeClr w14:val="tx1">
            <w14:lumMod w14:val="50000"/>
            <w14:lumOff w14:val="50000"/>
          </w14:schemeClr>
        </w14:solidFill>
      </w14:textFill>
    </w:rPr>
  </w:style>
  <w:style w:type="character" w:customStyle="1" w:styleId="52">
    <w:name w:val="副标题 Char"/>
    <w:basedOn w:val="35"/>
    <w:link w:val="24"/>
    <w:qFormat/>
    <w:uiPriority w:val="11"/>
    <w:rPr>
      <w:rFonts w:eastAsia="宋体" w:asciiTheme="majorHAnsi" w:hAnsiTheme="majorHAnsi" w:cstheme="majorBidi"/>
      <w:b/>
      <w:bCs/>
      <w:kern w:val="28"/>
      <w:sz w:val="32"/>
      <w:szCs w:val="32"/>
    </w:rPr>
  </w:style>
  <w:style w:type="character" w:customStyle="1" w:styleId="53">
    <w:name w:val="标题 Char"/>
    <w:basedOn w:val="35"/>
    <w:link w:val="31"/>
    <w:qFormat/>
    <w:uiPriority w:val="10"/>
    <w:rPr>
      <w:rFonts w:eastAsia="宋体" w:asciiTheme="majorHAnsi" w:hAnsiTheme="majorHAnsi" w:cstheme="majorBidi"/>
      <w:b/>
      <w:bCs/>
      <w:sz w:val="32"/>
      <w:szCs w:val="32"/>
    </w:rPr>
  </w:style>
  <w:style w:type="character" w:customStyle="1" w:styleId="54">
    <w:name w:val="标题 2 Char"/>
    <w:basedOn w:val="35"/>
    <w:link w:val="4"/>
    <w:qFormat/>
    <w:uiPriority w:val="0"/>
    <w:rPr>
      <w:rFonts w:asciiTheme="majorHAnsi" w:hAnsiTheme="majorHAnsi" w:eastAsiaTheme="majorEastAsia" w:cstheme="majorBidi"/>
      <w:b/>
      <w:bCs/>
      <w:sz w:val="32"/>
      <w:szCs w:val="32"/>
    </w:rPr>
  </w:style>
  <w:style w:type="character" w:customStyle="1" w:styleId="55">
    <w:name w:val="正文文本缩进 2 Char"/>
    <w:basedOn w:val="35"/>
    <w:link w:val="18"/>
    <w:qFormat/>
    <w:uiPriority w:val="0"/>
    <w:rPr>
      <w:rFonts w:ascii="宋体" w:hAnsi="宋体" w:eastAsia="宋体" w:cs="Times New Roman"/>
      <w:snapToGrid w:val="0"/>
      <w:kern w:val="0"/>
      <w:szCs w:val="24"/>
    </w:rPr>
  </w:style>
  <w:style w:type="paragraph" w:customStyle="1" w:styleId="56">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57">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58">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5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60">
    <w:name w:val="high-light-bg4"/>
    <w:basedOn w:val="35"/>
    <w:qFormat/>
    <w:uiPriority w:val="0"/>
  </w:style>
  <w:style w:type="character" w:customStyle="1" w:styleId="61">
    <w:name w:val="ordinary-span-edit2"/>
    <w:basedOn w:val="35"/>
    <w:qFormat/>
    <w:uiPriority w:val="0"/>
  </w:style>
  <w:style w:type="character" w:customStyle="1" w:styleId="62">
    <w:name w:val="日期 Char"/>
    <w:basedOn w:val="35"/>
    <w:link w:val="17"/>
    <w:semiHidden/>
    <w:qFormat/>
    <w:uiPriority w:val="99"/>
  </w:style>
  <w:style w:type="paragraph" w:customStyle="1" w:styleId="63">
    <w:name w:val="正文1"/>
    <w:qFormat/>
    <w:uiPriority w:val="0"/>
    <w:pPr>
      <w:jc w:val="both"/>
    </w:pPr>
    <w:rPr>
      <w:rFonts w:ascii="Calibri" w:hAnsi="Calibri" w:eastAsia="宋体" w:cs="宋体"/>
      <w:kern w:val="2"/>
      <w:sz w:val="21"/>
      <w:szCs w:val="21"/>
      <w:lang w:val="en-US" w:eastAsia="zh-CN" w:bidi="ar-SA"/>
    </w:rPr>
  </w:style>
  <w:style w:type="character" w:customStyle="1" w:styleId="64">
    <w:name w:val="dash6b63_6587__char1"/>
    <w:qFormat/>
    <w:uiPriority w:val="0"/>
    <w:rPr>
      <w:rFonts w:hint="default" w:ascii="Times New Roman" w:hAnsi="Times New Roman" w:cs="Times New Roman"/>
      <w:sz w:val="20"/>
      <w:szCs w:val="20"/>
      <w:u w:val="none"/>
    </w:rPr>
  </w:style>
  <w:style w:type="paragraph" w:customStyle="1" w:styleId="65">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66">
    <w:name w:val="章标题"/>
    <w:next w:val="67"/>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6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68">
    <w:name w:val="一级条标题"/>
    <w:next w:val="67"/>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69">
    <w:name w:val="二级无"/>
    <w:basedOn w:val="70"/>
    <w:qFormat/>
    <w:uiPriority w:val="0"/>
    <w:pPr>
      <w:spacing w:before="0" w:beforeLines="0" w:after="0" w:afterLines="0"/>
    </w:pPr>
    <w:rPr>
      <w:rFonts w:ascii="宋体" w:eastAsia="宋体"/>
    </w:rPr>
  </w:style>
  <w:style w:type="paragraph" w:customStyle="1" w:styleId="70">
    <w:name w:val="二级条标题"/>
    <w:basedOn w:val="68"/>
    <w:next w:val="67"/>
    <w:qFormat/>
    <w:uiPriority w:val="0"/>
    <w:pPr>
      <w:numPr>
        <w:ilvl w:val="2"/>
      </w:numPr>
      <w:spacing w:before="50" w:after="50"/>
      <w:outlineLvl w:val="3"/>
    </w:pPr>
  </w:style>
  <w:style w:type="paragraph" w:customStyle="1" w:styleId="71">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72">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73">
    <w:name w:val="注：（正文）"/>
    <w:basedOn w:val="74"/>
    <w:next w:val="67"/>
    <w:qFormat/>
    <w:uiPriority w:val="0"/>
  </w:style>
  <w:style w:type="paragraph" w:customStyle="1" w:styleId="74">
    <w:name w:val="注："/>
    <w:next w:val="67"/>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75">
    <w:name w:val="附录标识"/>
    <w:basedOn w:val="1"/>
    <w:next w:val="67"/>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6">
    <w:name w:val="正文表标题"/>
    <w:next w:val="67"/>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77">
    <w:name w:val="Other|1"/>
    <w:basedOn w:val="1"/>
    <w:qFormat/>
    <w:uiPriority w:val="0"/>
    <w:rPr>
      <w:rFonts w:ascii="宋体" w:hAnsi="宋体" w:cs="宋体"/>
      <w:sz w:val="19"/>
      <w:szCs w:val="19"/>
      <w:lang w:val="zh-CN" w:bidi="zh-CN"/>
    </w:rPr>
  </w:style>
  <w:style w:type="paragraph" w:customStyle="1" w:styleId="78">
    <w:name w:val="终结线"/>
    <w:basedOn w:val="1"/>
    <w:qFormat/>
    <w:uiPriority w:val="0"/>
    <w:pPr>
      <w:framePr w:hSpace="181" w:vSpace="181" w:wrap="around" w:vAnchor="text" w:hAnchor="margin" w:xAlign="center" w:y="285"/>
    </w:pPr>
  </w:style>
  <w:style w:type="paragraph" w:customStyle="1" w:styleId="79">
    <w:name w:val="标准文件_术语条一"/>
    <w:basedOn w:val="80"/>
    <w:next w:val="83"/>
    <w:qFormat/>
    <w:uiPriority w:val="0"/>
  </w:style>
  <w:style w:type="paragraph" w:customStyle="1" w:styleId="80">
    <w:name w:val="标准文件_一级无标题"/>
    <w:basedOn w:val="81"/>
    <w:qFormat/>
    <w:uiPriority w:val="0"/>
    <w:pPr>
      <w:spacing w:before="0" w:beforeLines="0" w:after="0" w:afterLines="0"/>
      <w:outlineLvl w:val="9"/>
    </w:pPr>
    <w:rPr>
      <w:rFonts w:ascii="宋体" w:eastAsia="宋体"/>
    </w:rPr>
  </w:style>
  <w:style w:type="paragraph" w:customStyle="1" w:styleId="81">
    <w:name w:val="标准文件_一级条标题"/>
    <w:basedOn w:val="82"/>
    <w:next w:val="83"/>
    <w:qFormat/>
    <w:uiPriority w:val="0"/>
    <w:pPr>
      <w:numPr>
        <w:ilvl w:val="2"/>
      </w:numPr>
      <w:spacing w:before="50" w:beforeLines="50" w:after="50" w:afterLines="50"/>
      <w:outlineLvl w:val="1"/>
    </w:pPr>
  </w:style>
  <w:style w:type="paragraph" w:customStyle="1" w:styleId="82">
    <w:name w:val="标准文件_章标题"/>
    <w:next w:val="83"/>
    <w:qFormat/>
    <w:uiPriority w:val="0"/>
    <w:pPr>
      <w:numPr>
        <w:ilvl w:val="1"/>
        <w:numId w:val="8"/>
      </w:numPr>
      <w:spacing w:before="312" w:beforeLines="100" w:after="312" w:afterLines="100"/>
      <w:ind w:left="0"/>
      <w:jc w:val="both"/>
      <w:outlineLvl w:val="0"/>
    </w:pPr>
    <w:rPr>
      <w:rFonts w:ascii="黑体" w:hAnsi="Times New Roman" w:eastAsia="黑体" w:cs="Times New Roman"/>
      <w:sz w:val="21"/>
      <w:lang w:val="en-US" w:eastAsia="zh-CN" w:bidi="ar-SA"/>
    </w:rPr>
  </w:style>
  <w:style w:type="paragraph" w:customStyle="1" w:styleId="83">
    <w:name w:val="标准文件_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84">
    <w:name w:val="标准文件_二级无标题"/>
    <w:basedOn w:val="85"/>
    <w:qFormat/>
    <w:uiPriority w:val="0"/>
    <w:pPr>
      <w:numPr>
        <w:numId w:val="0"/>
      </w:numPr>
      <w:spacing w:before="0" w:beforeLines="0" w:after="0" w:afterLines="0"/>
      <w:ind w:firstLine="420" w:firstLineChars="200"/>
      <w:outlineLvl w:val="9"/>
    </w:pPr>
    <w:rPr>
      <w:rFonts w:ascii="宋体" w:eastAsia="宋体"/>
    </w:rPr>
  </w:style>
  <w:style w:type="paragraph" w:customStyle="1" w:styleId="85">
    <w:name w:val="标准文件_二级条标题"/>
    <w:next w:val="83"/>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8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87">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88">
    <w:name w:val="说明文字"/>
    <w:basedOn w:val="1"/>
    <w:qFormat/>
    <w:uiPriority w:val="0"/>
  </w:style>
  <w:style w:type="paragraph" w:customStyle="1" w:styleId="89">
    <w:name w:val="标准文件_附录一级条标题"/>
    <w:next w:val="83"/>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0">
    <w:name w:val="标准文件_附录图标题"/>
    <w:next w:val="83"/>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1">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character" w:customStyle="1" w:styleId="92">
    <w:name w:val="信息标题 Char"/>
    <w:basedOn w:val="35"/>
    <w:link w:val="29"/>
    <w:qFormat/>
    <w:uiPriority w:val="0"/>
    <w:rPr>
      <w:rFonts w:ascii="Arial" w:hAnsi="Arial"/>
      <w:kern w:val="2"/>
      <w:sz w:val="24"/>
      <w:szCs w:val="24"/>
      <w:shd w:val="pct20" w:color="auto" w:fill="auto"/>
    </w:rPr>
  </w:style>
  <w:style w:type="character" w:customStyle="1" w:styleId="93">
    <w:name w:val="文档结构图 Char"/>
    <w:basedOn w:val="35"/>
    <w:link w:val="10"/>
    <w:qFormat/>
    <w:uiPriority w:val="0"/>
    <w:rPr>
      <w:rFonts w:ascii="宋体"/>
      <w:kern w:val="2"/>
      <w:sz w:val="18"/>
      <w:szCs w:val="18"/>
    </w:rPr>
  </w:style>
  <w:style w:type="character" w:customStyle="1" w:styleId="94">
    <w:name w:val="批注文字 字符"/>
    <w:semiHidden/>
    <w:qFormat/>
    <w:uiPriority w:val="0"/>
    <w:rPr>
      <w:kern w:val="2"/>
      <w:sz w:val="21"/>
      <w:szCs w:val="24"/>
    </w:rPr>
  </w:style>
  <w:style w:type="character" w:customStyle="1" w:styleId="95">
    <w:name w:val="正文文本缩进 Char"/>
    <w:basedOn w:val="35"/>
    <w:link w:val="12"/>
    <w:qFormat/>
    <w:uiPriority w:val="0"/>
    <w:rPr>
      <w:kern w:val="2"/>
      <w:sz w:val="21"/>
      <w:szCs w:val="24"/>
    </w:rPr>
  </w:style>
  <w:style w:type="character" w:customStyle="1" w:styleId="96">
    <w:name w:val="纯文本 Char"/>
    <w:basedOn w:val="35"/>
    <w:link w:val="15"/>
    <w:qFormat/>
    <w:uiPriority w:val="0"/>
    <w:rPr>
      <w:rFonts w:ascii="宋体" w:hAnsi="Courier New"/>
      <w:kern w:val="2"/>
      <w:sz w:val="21"/>
      <w:szCs w:val="21"/>
    </w:rPr>
  </w:style>
  <w:style w:type="character" w:customStyle="1" w:styleId="97">
    <w:name w:val="目录 1 Char"/>
    <w:link w:val="22"/>
    <w:qFormat/>
    <w:uiPriority w:val="39"/>
    <w:rPr>
      <w:rFonts w:asciiTheme="minorHAnsi" w:hAnsiTheme="minorHAnsi" w:eastAsiaTheme="minorEastAsia" w:cstheme="minorBidi"/>
      <w:kern w:val="2"/>
      <w:sz w:val="21"/>
      <w:szCs w:val="22"/>
    </w:rPr>
  </w:style>
  <w:style w:type="character" w:customStyle="1" w:styleId="98">
    <w:name w:val="脚注文本 Char"/>
    <w:basedOn w:val="35"/>
    <w:link w:val="25"/>
    <w:semiHidden/>
    <w:qFormat/>
    <w:uiPriority w:val="0"/>
    <w:rPr>
      <w:kern w:val="10"/>
      <w:sz w:val="18"/>
      <w:szCs w:val="18"/>
    </w:rPr>
  </w:style>
  <w:style w:type="character" w:customStyle="1" w:styleId="99">
    <w:name w:val="批注文字 Char"/>
    <w:basedOn w:val="35"/>
    <w:link w:val="11"/>
    <w:semiHidden/>
    <w:qFormat/>
    <w:uiPriority w:val="0"/>
    <w:rPr>
      <w:rFonts w:asciiTheme="minorHAnsi" w:hAnsiTheme="minorHAnsi" w:eastAsiaTheme="minorEastAsia" w:cstheme="minorBidi"/>
      <w:kern w:val="2"/>
      <w:sz w:val="21"/>
      <w:szCs w:val="22"/>
    </w:rPr>
  </w:style>
  <w:style w:type="character" w:customStyle="1" w:styleId="100">
    <w:name w:val="批注主题 Char"/>
    <w:basedOn w:val="99"/>
    <w:link w:val="32"/>
    <w:qFormat/>
    <w:uiPriority w:val="0"/>
    <w:rPr>
      <w:rFonts w:asciiTheme="minorHAnsi" w:hAnsiTheme="minorHAnsi" w:eastAsiaTheme="minorEastAsia" w:cstheme="minorBidi"/>
      <w:b/>
      <w:bCs/>
      <w:kern w:val="2"/>
      <w:sz w:val="21"/>
      <w:szCs w:val="24"/>
    </w:rPr>
  </w:style>
  <w:style w:type="character" w:customStyle="1" w:styleId="101">
    <w:name w:val="(一) 字元"/>
    <w:link w:val="102"/>
    <w:qFormat/>
    <w:uiPriority w:val="0"/>
    <w:rPr>
      <w:rFonts w:eastAsia="華康楷書體W5"/>
      <w:kern w:val="20"/>
      <w:sz w:val="26"/>
      <w:szCs w:val="26"/>
      <w:lang w:eastAsia="zh-TW"/>
    </w:rPr>
  </w:style>
  <w:style w:type="paragraph" w:customStyle="1" w:styleId="102">
    <w:name w:val="(一)"/>
    <w:basedOn w:val="1"/>
    <w:link w:val="101"/>
    <w:qFormat/>
    <w:uiPriority w:val="0"/>
    <w:pPr>
      <w:kinsoku w:val="0"/>
      <w:adjustRightInd w:val="0"/>
      <w:snapToGrid w:val="0"/>
      <w:spacing w:line="440" w:lineRule="atLeast"/>
      <w:ind w:left="1991" w:hanging="522"/>
      <w:textAlignment w:val="baseline"/>
    </w:pPr>
    <w:rPr>
      <w:rFonts w:ascii="Times New Roman" w:hAnsi="Times New Roman" w:eastAsia="華康楷書體W5" w:cs="Times New Roman"/>
      <w:kern w:val="20"/>
      <w:sz w:val="26"/>
      <w:szCs w:val="26"/>
      <w:lang w:eastAsia="zh-TW"/>
    </w:rPr>
  </w:style>
  <w:style w:type="character" w:customStyle="1" w:styleId="103">
    <w:name w:val="我的正文 Char"/>
    <w:link w:val="104"/>
    <w:qFormat/>
    <w:locked/>
    <w:uiPriority w:val="0"/>
    <w:rPr>
      <w:kern w:val="2"/>
      <w:sz w:val="22"/>
      <w:szCs w:val="22"/>
    </w:rPr>
  </w:style>
  <w:style w:type="paragraph" w:customStyle="1" w:styleId="104">
    <w:name w:val="我的正文"/>
    <w:basedOn w:val="1"/>
    <w:link w:val="103"/>
    <w:qFormat/>
    <w:uiPriority w:val="0"/>
    <w:pPr>
      <w:spacing w:line="288" w:lineRule="auto"/>
    </w:pPr>
    <w:rPr>
      <w:rFonts w:ascii="Times New Roman" w:hAnsi="Times New Roman" w:eastAsia="宋体" w:cs="Times New Roman"/>
      <w:sz w:val="22"/>
    </w:rPr>
  </w:style>
  <w:style w:type="character" w:customStyle="1" w:styleId="105">
    <w:name w:val="发布"/>
    <w:qFormat/>
    <w:uiPriority w:val="0"/>
    <w:rPr>
      <w:rFonts w:ascii="黑体" w:eastAsia="黑体"/>
      <w:spacing w:val="22"/>
      <w:w w:val="100"/>
      <w:position w:val="3"/>
      <w:sz w:val="28"/>
    </w:rPr>
  </w:style>
  <w:style w:type="character" w:customStyle="1" w:styleId="106">
    <w:name w:val="圖 字元"/>
    <w:link w:val="107"/>
    <w:qFormat/>
    <w:uiPriority w:val="0"/>
    <w:rPr>
      <w:rFonts w:eastAsia="華康特粗楷體"/>
      <w:kern w:val="20"/>
      <w:sz w:val="36"/>
      <w:szCs w:val="36"/>
      <w:lang w:eastAsia="zh-TW"/>
    </w:rPr>
  </w:style>
  <w:style w:type="paragraph" w:customStyle="1" w:styleId="107">
    <w:name w:val="圖"/>
    <w:basedOn w:val="1"/>
    <w:link w:val="106"/>
    <w:qFormat/>
    <w:uiPriority w:val="0"/>
    <w:pPr>
      <w:kinsoku w:val="0"/>
      <w:adjustRightInd w:val="0"/>
      <w:snapToGrid w:val="0"/>
      <w:spacing w:after="240" w:line="0" w:lineRule="atLeast"/>
      <w:jc w:val="center"/>
      <w:textAlignment w:val="baseline"/>
    </w:pPr>
    <w:rPr>
      <w:rFonts w:ascii="Times New Roman" w:hAnsi="Times New Roman" w:eastAsia="華康特粗楷體" w:cs="Times New Roman"/>
      <w:kern w:val="20"/>
      <w:sz w:val="36"/>
      <w:szCs w:val="36"/>
      <w:lang w:eastAsia="zh-TW"/>
    </w:rPr>
  </w:style>
  <w:style w:type="character" w:customStyle="1" w:styleId="108">
    <w:name w:val="font11"/>
    <w:qFormat/>
    <w:uiPriority w:val="0"/>
    <w:rPr>
      <w:rFonts w:ascii="仿宋_GB2312" w:eastAsia="仿宋_GB2312" w:cs="仿宋_GB2312"/>
      <w:color w:val="000000"/>
      <w:sz w:val="21"/>
      <w:szCs w:val="21"/>
      <w:u w:val="none"/>
    </w:rPr>
  </w:style>
  <w:style w:type="character" w:customStyle="1" w:styleId="109">
    <w:name w:val="(一)文 字元"/>
    <w:link w:val="110"/>
    <w:qFormat/>
    <w:uiPriority w:val="0"/>
    <w:rPr>
      <w:rFonts w:eastAsia="華康楷書體W5"/>
      <w:kern w:val="20"/>
      <w:sz w:val="26"/>
      <w:szCs w:val="26"/>
      <w:lang w:eastAsia="zh-TW"/>
    </w:rPr>
  </w:style>
  <w:style w:type="paragraph" w:customStyle="1" w:styleId="110">
    <w:name w:val="(一)文"/>
    <w:basedOn w:val="1"/>
    <w:link w:val="109"/>
    <w:qFormat/>
    <w:uiPriority w:val="0"/>
    <w:pPr>
      <w:kinsoku w:val="0"/>
      <w:adjustRightInd w:val="0"/>
      <w:snapToGrid w:val="0"/>
      <w:spacing w:line="440" w:lineRule="atLeast"/>
      <w:ind w:left="2016" w:firstLine="532"/>
      <w:textAlignment w:val="baseline"/>
    </w:pPr>
    <w:rPr>
      <w:rFonts w:ascii="Times New Roman" w:hAnsi="Times New Roman" w:eastAsia="華康楷書體W5" w:cs="Times New Roman"/>
      <w:kern w:val="20"/>
      <w:sz w:val="26"/>
      <w:szCs w:val="26"/>
      <w:lang w:eastAsia="zh-TW"/>
    </w:rPr>
  </w:style>
  <w:style w:type="character" w:customStyle="1" w:styleId="111">
    <w:name w:val="一级标题 Char"/>
    <w:link w:val="112"/>
    <w:qFormat/>
    <w:uiPriority w:val="0"/>
    <w:rPr>
      <w:b/>
      <w:kern w:val="2"/>
      <w:sz w:val="32"/>
      <w:szCs w:val="24"/>
    </w:rPr>
  </w:style>
  <w:style w:type="paragraph" w:customStyle="1" w:styleId="112">
    <w:name w:val="一级标题"/>
    <w:basedOn w:val="1"/>
    <w:link w:val="111"/>
    <w:qFormat/>
    <w:uiPriority w:val="0"/>
    <w:pPr>
      <w:spacing w:before="60" w:line="460" w:lineRule="exact"/>
      <w:outlineLvl w:val="0"/>
    </w:pPr>
    <w:rPr>
      <w:rFonts w:ascii="Times New Roman" w:hAnsi="Times New Roman" w:eastAsia="宋体" w:cs="Times New Roman"/>
      <w:b/>
      <w:sz w:val="32"/>
      <w:szCs w:val="24"/>
    </w:rPr>
  </w:style>
  <w:style w:type="paragraph" w:customStyle="1" w:styleId="11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14">
    <w:name w:val="表格标题"/>
    <w:basedOn w:val="1"/>
    <w:qFormat/>
    <w:uiPriority w:val="0"/>
    <w:pPr>
      <w:spacing w:before="60" w:line="460" w:lineRule="exact"/>
      <w:jc w:val="center"/>
    </w:pPr>
    <w:rPr>
      <w:rFonts w:ascii="Times New Roman" w:hAnsi="Times New Roman" w:eastAsia="宋体" w:cs="Times New Roman"/>
      <w:kern w:val="10"/>
      <w:sz w:val="24"/>
      <w:szCs w:val="15"/>
    </w:rPr>
  </w:style>
  <w:style w:type="paragraph" w:customStyle="1" w:styleId="115">
    <w:name w:val="发布部门"/>
    <w:next w:val="67"/>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16">
    <w:name w:val="前言、引言标题"/>
    <w:next w:val="1"/>
    <w:qFormat/>
    <w:uiPriority w:val="0"/>
    <w:pPr>
      <w:shd w:val="clear" w:color="FFFFFF" w:fill="FFFFFF"/>
      <w:spacing w:before="640" w:after="560"/>
      <w:ind w:left="425" w:hanging="425"/>
      <w:jc w:val="center"/>
      <w:outlineLvl w:val="0"/>
    </w:pPr>
    <w:rPr>
      <w:rFonts w:ascii="黑体" w:hAnsi="Times New Roman" w:eastAsia="黑体" w:cs="Times New Roman"/>
      <w:sz w:val="32"/>
      <w:lang w:val="en-US" w:eastAsia="zh-CN" w:bidi="ar-SA"/>
    </w:rPr>
  </w:style>
  <w:style w:type="paragraph" w:customStyle="1" w:styleId="117">
    <w:name w:val="CM2"/>
    <w:basedOn w:val="1"/>
    <w:next w:val="1"/>
    <w:qFormat/>
    <w:uiPriority w:val="0"/>
    <w:pPr>
      <w:autoSpaceDE w:val="0"/>
      <w:autoSpaceDN w:val="0"/>
      <w:adjustRightInd w:val="0"/>
      <w:spacing w:line="413" w:lineRule="atLeast"/>
      <w:jc w:val="left"/>
    </w:pPr>
    <w:rPr>
      <w:rFonts w:ascii="FPGGHK+TimesNewRoman,Bold" w:hAnsi="Times New Roman" w:eastAsia="FPGGHK+TimesNewRoman,Bold" w:cs="Times New Roman"/>
      <w:kern w:val="0"/>
      <w:sz w:val="24"/>
      <w:szCs w:val="24"/>
    </w:rPr>
  </w:style>
  <w:style w:type="paragraph" w:customStyle="1" w:styleId="118">
    <w:name w:val="1.1樣式"/>
    <w:basedOn w:val="1"/>
    <w:qFormat/>
    <w:uiPriority w:val="0"/>
    <w:pPr>
      <w:tabs>
        <w:tab w:val="right" w:pos="9000"/>
      </w:tabs>
      <w:kinsoku w:val="0"/>
      <w:adjustRightInd w:val="0"/>
      <w:snapToGrid w:val="0"/>
      <w:spacing w:line="440" w:lineRule="atLeast"/>
      <w:ind w:left="2268" w:right="-51" w:firstLine="1701"/>
      <w:textAlignment w:val="baseline"/>
    </w:pPr>
    <w:rPr>
      <w:rFonts w:ascii="Times New Roman" w:hAnsi="Times New Roman" w:eastAsia="華康楷書體W5" w:cs="Times New Roman"/>
      <w:kern w:val="20"/>
      <w:sz w:val="26"/>
      <w:szCs w:val="26"/>
      <w:lang w:eastAsia="zh-TW"/>
    </w:rPr>
  </w:style>
  <w:style w:type="paragraph" w:customStyle="1" w:styleId="119">
    <w:name w:val="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2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21">
    <w:name w:val="表格正文"/>
    <w:basedOn w:val="1"/>
    <w:qFormat/>
    <w:uiPriority w:val="0"/>
    <w:pPr>
      <w:spacing w:line="360" w:lineRule="exact"/>
      <w:jc w:val="center"/>
    </w:pPr>
    <w:rPr>
      <w:rFonts w:ascii="Times New Roman" w:hAnsi="Times New Roman" w:eastAsia="宋体" w:cs="Times New Roman"/>
      <w:kern w:val="10"/>
      <w:szCs w:val="15"/>
    </w:rPr>
  </w:style>
  <w:style w:type="paragraph" w:customStyle="1" w:styleId="122">
    <w:name w:val="正文图标题"/>
    <w:next w:val="67"/>
    <w:qFormat/>
    <w:uiPriority w:val="0"/>
    <w:pPr>
      <w:numPr>
        <w:ilvl w:val="0"/>
        <w:numId w:val="4"/>
      </w:numPr>
      <w:jc w:val="center"/>
    </w:pPr>
    <w:rPr>
      <w:rFonts w:ascii="黑体" w:hAnsi="Times New Roman" w:eastAsia="黑体" w:cs="Times New Roman"/>
      <w:sz w:val="21"/>
      <w:lang w:val="en-US" w:eastAsia="zh-CN" w:bidi="ar-SA"/>
    </w:rPr>
  </w:style>
  <w:style w:type="paragraph" w:customStyle="1" w:styleId="123">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24">
    <w:name w:val="封面标准代替信息"/>
    <w:basedOn w:val="125"/>
    <w:qFormat/>
    <w:uiPriority w:val="0"/>
    <w:pPr>
      <w:framePr/>
      <w:spacing w:before="57"/>
    </w:pPr>
    <w:rPr>
      <w:rFonts w:ascii="宋体"/>
      <w:sz w:val="21"/>
    </w:rPr>
  </w:style>
  <w:style w:type="paragraph" w:customStyle="1" w:styleId="125">
    <w:name w:val="封面标准号2"/>
    <w:basedOn w:val="50"/>
    <w:qFormat/>
    <w:uiPriority w:val="0"/>
    <w:pPr>
      <w:framePr w:w="9138" w:h="1244" w:hRule="exact" w:wrap="around" w:vAnchor="page" w:hAnchor="margin" w:y="2908"/>
      <w:adjustRightInd w:val="0"/>
      <w:spacing w:before="357" w:line="280" w:lineRule="exact"/>
      <w:textAlignment w:val="center"/>
    </w:pPr>
  </w:style>
  <w:style w:type="paragraph" w:customStyle="1" w:styleId="126">
    <w:name w:val="附录四级条标题"/>
    <w:basedOn w:val="127"/>
    <w:next w:val="67"/>
    <w:qFormat/>
    <w:uiPriority w:val="0"/>
    <w:pPr>
      <w:outlineLvl w:val="5"/>
    </w:pPr>
  </w:style>
  <w:style w:type="paragraph" w:customStyle="1" w:styleId="127">
    <w:name w:val="附录三级条标题"/>
    <w:basedOn w:val="128"/>
    <w:next w:val="67"/>
    <w:qFormat/>
    <w:uiPriority w:val="0"/>
    <w:pPr>
      <w:outlineLvl w:val="4"/>
    </w:pPr>
  </w:style>
  <w:style w:type="paragraph" w:customStyle="1" w:styleId="128">
    <w:name w:val="附录二级条标题"/>
    <w:basedOn w:val="129"/>
    <w:next w:val="67"/>
    <w:qFormat/>
    <w:uiPriority w:val="0"/>
    <w:pPr>
      <w:outlineLvl w:val="3"/>
    </w:pPr>
  </w:style>
  <w:style w:type="paragraph" w:customStyle="1" w:styleId="129">
    <w:name w:val="附录一级条标题"/>
    <w:basedOn w:val="57"/>
    <w:next w:val="67"/>
    <w:qFormat/>
    <w:uiPriority w:val="0"/>
    <w:pPr>
      <w:autoSpaceDN w:val="0"/>
      <w:spacing w:beforeLines="0" w:afterLines="0"/>
      <w:ind w:left="0"/>
      <w:outlineLvl w:val="2"/>
    </w:pPr>
  </w:style>
  <w:style w:type="paragraph" w:customStyle="1" w:styleId="130">
    <w:name w:val="一、"/>
    <w:basedOn w:val="1"/>
    <w:qFormat/>
    <w:uiPriority w:val="0"/>
    <w:pPr>
      <w:kinsoku w:val="0"/>
      <w:adjustRightInd w:val="0"/>
      <w:snapToGrid w:val="0"/>
      <w:spacing w:line="440" w:lineRule="atLeast"/>
      <w:ind w:left="1412" w:hanging="567"/>
      <w:textAlignment w:val="baseline"/>
    </w:pPr>
    <w:rPr>
      <w:rFonts w:ascii="Times New Roman" w:hAnsi="Times New Roman" w:eastAsia="華康特粗楷體" w:cs="Times New Roman"/>
      <w:b/>
      <w:bCs/>
      <w:color w:val="FF0000"/>
      <w:kern w:val="20"/>
      <w:sz w:val="26"/>
      <w:szCs w:val="26"/>
      <w:u w:val="single"/>
      <w:lang w:eastAsia="zh-TW"/>
    </w:rPr>
  </w:style>
  <w:style w:type="paragraph" w:customStyle="1" w:styleId="131">
    <w:name w:val="二级标题"/>
    <w:basedOn w:val="1"/>
    <w:qFormat/>
    <w:uiPriority w:val="0"/>
    <w:pPr>
      <w:spacing w:before="60" w:line="460" w:lineRule="exact"/>
      <w:outlineLvl w:val="1"/>
    </w:pPr>
    <w:rPr>
      <w:rFonts w:ascii="Times New Roman" w:hAnsi="Times New Roman" w:eastAsia="宋体" w:cs="Times New Roman"/>
      <w:b/>
      <w:kern w:val="10"/>
      <w:sz w:val="28"/>
      <w:szCs w:val="15"/>
    </w:rPr>
  </w:style>
  <w:style w:type="paragraph" w:customStyle="1" w:styleId="13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33">
    <w:name w:val="样式 1.文 + 宋体 五号 左侧:  0 厘米 行距: 单倍行距"/>
    <w:basedOn w:val="134"/>
    <w:qFormat/>
    <w:uiPriority w:val="0"/>
    <w:pPr>
      <w:spacing w:line="240" w:lineRule="auto"/>
      <w:ind w:left="0" w:firstLine="420" w:firstLineChars="200"/>
    </w:pPr>
    <w:rPr>
      <w:rFonts w:ascii="宋体" w:hAnsi="宋体" w:eastAsia="宋体" w:cs="宋体"/>
      <w:sz w:val="21"/>
      <w:szCs w:val="20"/>
    </w:rPr>
  </w:style>
  <w:style w:type="paragraph" w:customStyle="1" w:styleId="134">
    <w:name w:val="1.文"/>
    <w:basedOn w:val="1"/>
    <w:qFormat/>
    <w:uiPriority w:val="0"/>
    <w:pPr>
      <w:kinsoku w:val="0"/>
      <w:adjustRightInd w:val="0"/>
      <w:snapToGrid w:val="0"/>
      <w:spacing w:line="440" w:lineRule="atLeast"/>
      <w:ind w:left="2296" w:firstLine="490"/>
      <w:textAlignment w:val="baseline"/>
    </w:pPr>
    <w:rPr>
      <w:rFonts w:ascii="Times New Roman" w:hAnsi="Times New Roman" w:eastAsia="華康楷書體W5" w:cs="Times New Roman"/>
      <w:kern w:val="20"/>
      <w:sz w:val="26"/>
      <w:szCs w:val="26"/>
      <w:lang w:eastAsia="zh-TW"/>
    </w:rPr>
  </w:style>
  <w:style w:type="paragraph" w:customStyle="1" w:styleId="135">
    <w:name w:val="一、文"/>
    <w:basedOn w:val="1"/>
    <w:qFormat/>
    <w:uiPriority w:val="0"/>
    <w:pPr>
      <w:kinsoku w:val="0"/>
      <w:adjustRightInd w:val="0"/>
      <w:snapToGrid w:val="0"/>
      <w:spacing w:line="440" w:lineRule="atLeast"/>
      <w:ind w:left="1414" w:firstLine="532"/>
      <w:textAlignment w:val="baseline"/>
    </w:pPr>
    <w:rPr>
      <w:rFonts w:ascii="Times New Roman" w:hAnsi="Times New Roman" w:eastAsia="華康楷書體W5" w:cs="Times New Roman"/>
      <w:kern w:val="20"/>
      <w:sz w:val="26"/>
      <w:szCs w:val="26"/>
      <w:lang w:eastAsia="zh-TW"/>
    </w:rPr>
  </w:style>
  <w:style w:type="paragraph" w:customStyle="1" w:styleId="136">
    <w:name w:val="頁尾-1"/>
    <w:basedOn w:val="20"/>
    <w:qFormat/>
    <w:uiPriority w:val="0"/>
    <w:pPr>
      <w:tabs>
        <w:tab w:val="center" w:pos="6047"/>
        <w:tab w:val="right" w:pos="9072"/>
        <w:tab w:val="right" w:pos="13970"/>
        <w:tab w:val="right" w:pos="14194"/>
        <w:tab w:val="clear" w:pos="4153"/>
        <w:tab w:val="clear" w:pos="8306"/>
      </w:tabs>
      <w:kinsoku w:val="0"/>
      <w:adjustRightInd w:val="0"/>
      <w:spacing w:line="0" w:lineRule="atLeast"/>
      <w:jc w:val="right"/>
      <w:textAlignment w:val="baseline"/>
    </w:pPr>
    <w:rPr>
      <w:rFonts w:ascii="Times New Roman" w:hAnsi="Times New Roman" w:eastAsia="華康楷書體W5" w:cs="Times New Roman"/>
      <w:kern w:val="0"/>
      <w:sz w:val="16"/>
      <w:szCs w:val="16"/>
      <w:lang w:eastAsia="zh-TW"/>
    </w:rPr>
  </w:style>
  <w:style w:type="paragraph" w:customStyle="1" w:styleId="137">
    <w:name w:val="1."/>
    <w:basedOn w:val="1"/>
    <w:qFormat/>
    <w:uiPriority w:val="0"/>
    <w:pPr>
      <w:kinsoku w:val="0"/>
      <w:adjustRightInd w:val="0"/>
      <w:snapToGrid w:val="0"/>
      <w:spacing w:line="440" w:lineRule="atLeast"/>
      <w:ind w:left="2282" w:hanging="266"/>
      <w:textAlignment w:val="baseline"/>
    </w:pPr>
    <w:rPr>
      <w:rFonts w:ascii="Times New Roman" w:hAnsi="Times New Roman" w:eastAsia="華康楷書體W5" w:cs="Times New Roman"/>
      <w:kern w:val="20"/>
      <w:sz w:val="26"/>
      <w:szCs w:val="26"/>
      <w:lang w:eastAsia="zh-TW"/>
    </w:rPr>
  </w:style>
  <w:style w:type="paragraph" w:customStyle="1" w:styleId="138">
    <w:name w:val="附录五级条标题"/>
    <w:basedOn w:val="126"/>
    <w:next w:val="67"/>
    <w:qFormat/>
    <w:uiPriority w:val="0"/>
    <w:pPr>
      <w:outlineLvl w:val="6"/>
    </w:pPr>
  </w:style>
  <w:style w:type="paragraph" w:customStyle="1" w:styleId="139">
    <w:name w:val="1.1目錄"/>
    <w:basedOn w:val="1"/>
    <w:qFormat/>
    <w:uiPriority w:val="0"/>
    <w:pPr>
      <w:tabs>
        <w:tab w:val="right" w:pos="9000"/>
      </w:tabs>
      <w:kinsoku w:val="0"/>
      <w:adjustRightInd w:val="0"/>
      <w:snapToGrid w:val="0"/>
      <w:spacing w:line="440" w:lineRule="atLeast"/>
      <w:ind w:right="1508"/>
      <w:textAlignment w:val="baseline"/>
    </w:pPr>
    <w:rPr>
      <w:rFonts w:ascii="Times New Roman" w:hAnsi="Times New Roman" w:eastAsia="華康楷書體W5" w:cs="Times New Roman"/>
      <w:kern w:val="20"/>
      <w:sz w:val="26"/>
      <w:szCs w:val="26"/>
      <w:lang w:eastAsia="zh-TW"/>
    </w:rPr>
  </w:style>
  <w:style w:type="paragraph" w:customStyle="1" w:styleId="14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1">
    <w:name w:val="附录图标题"/>
    <w:next w:val="67"/>
    <w:qFormat/>
    <w:uiPriority w:val="0"/>
    <w:pPr>
      <w:tabs>
        <w:tab w:val="left" w:pos="360"/>
      </w:tabs>
      <w:jc w:val="center"/>
    </w:pPr>
    <w:rPr>
      <w:rFonts w:ascii="黑体" w:hAnsi="Times New Roman" w:eastAsia="黑体" w:cs="Times New Roman"/>
      <w:sz w:val="21"/>
      <w:lang w:val="en-US" w:eastAsia="zh-CN" w:bidi="ar-SA"/>
    </w:rPr>
  </w:style>
  <w:style w:type="paragraph" w:customStyle="1" w:styleId="14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3">
    <w:name w:val="封面正文"/>
    <w:qFormat/>
    <w:uiPriority w:val="0"/>
    <w:pPr>
      <w:jc w:val="both"/>
    </w:pPr>
    <w:rPr>
      <w:rFonts w:ascii="Times New Roman" w:hAnsi="Times New Roman" w:eastAsia="宋体" w:cs="Times New Roman"/>
      <w:lang w:val="en-US" w:eastAsia="zh-CN" w:bidi="ar-SA"/>
    </w:rPr>
  </w:style>
  <w:style w:type="paragraph" w:customStyle="1" w:styleId="144">
    <w:name w:val="正文01"/>
    <w:basedOn w:val="1"/>
    <w:qFormat/>
    <w:uiPriority w:val="0"/>
    <w:pPr>
      <w:spacing w:before="60" w:line="460" w:lineRule="exact"/>
      <w:ind w:firstLine="200" w:firstLineChars="200"/>
    </w:pPr>
    <w:rPr>
      <w:rFonts w:ascii="Times New Roman" w:hAnsi="Times New Roman" w:eastAsia="宋体" w:cs="Times New Roman"/>
      <w:kern w:val="10"/>
      <w:sz w:val="24"/>
      <w:szCs w:val="15"/>
    </w:rPr>
  </w:style>
  <w:style w:type="paragraph" w:customStyle="1" w:styleId="145">
    <w:name w:val="示例"/>
    <w:next w:val="67"/>
    <w:qFormat/>
    <w:uiPriority w:val="0"/>
    <w:pPr>
      <w:numPr>
        <w:ilvl w:val="0"/>
        <w:numId w:val="8"/>
      </w:num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46">
    <w:name w:val="表格后文"/>
    <w:basedOn w:val="144"/>
    <w:qFormat/>
    <w:uiPriority w:val="0"/>
    <w:pPr>
      <w:spacing w:before="300"/>
    </w:pPr>
  </w:style>
  <w:style w:type="paragraph" w:customStyle="1" w:styleId="147">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48">
    <w:name w:val="注×："/>
    <w:qFormat/>
    <w:uiPriority w:val="0"/>
    <w:pPr>
      <w:widowControl w:val="0"/>
      <w:numPr>
        <w:ilvl w:val="0"/>
        <w:numId w:val="9"/>
      </w:numPr>
      <w:tabs>
        <w:tab w:val="left" w:pos="630"/>
      </w:tabs>
      <w:autoSpaceDE w:val="0"/>
      <w:autoSpaceDN w:val="0"/>
      <w:jc w:val="both"/>
    </w:pPr>
    <w:rPr>
      <w:rFonts w:ascii="宋体" w:hAnsi="Times New Roman" w:eastAsia="宋体" w:cs="Times New Roman"/>
      <w:sz w:val="18"/>
      <w:lang w:val="en-US" w:eastAsia="zh-CN" w:bidi="ar-SA"/>
    </w:rPr>
  </w:style>
  <w:style w:type="paragraph" w:customStyle="1" w:styleId="149">
    <w:name w:val="实施日期"/>
    <w:basedOn w:val="132"/>
    <w:qFormat/>
    <w:uiPriority w:val="0"/>
    <w:pPr>
      <w:framePr w:hSpace="0" w:hAnchor="text" w:xAlign="right"/>
      <w:jc w:val="right"/>
    </w:pPr>
  </w:style>
  <w:style w:type="paragraph" w:customStyle="1" w:styleId="150">
    <w:name w:val="样式 标题 1 + 加粗"/>
    <w:basedOn w:val="3"/>
    <w:qFormat/>
    <w:uiPriority w:val="0"/>
    <w:pPr>
      <w:keepLines w:val="0"/>
      <w:snapToGrid w:val="0"/>
      <w:spacing w:before="156" w:beforeLines="50" w:after="156" w:afterLines="50" w:line="360" w:lineRule="exact"/>
      <w:ind w:right="210"/>
      <w:jc w:val="left"/>
    </w:pPr>
    <w:rPr>
      <w:rFonts w:ascii="Times New Roman" w:hAnsi="Times New Roman" w:eastAsia="黑体"/>
      <w:kern w:val="2"/>
      <w:sz w:val="21"/>
      <w:szCs w:val="20"/>
    </w:rPr>
  </w:style>
  <w:style w:type="paragraph" w:customStyle="1" w:styleId="151">
    <w:name w:val="标准书眉一"/>
    <w:qFormat/>
    <w:uiPriority w:val="0"/>
    <w:pPr>
      <w:jc w:val="both"/>
    </w:pPr>
    <w:rPr>
      <w:rFonts w:ascii="Times New Roman" w:hAnsi="Times New Roman" w:eastAsia="宋体" w:cs="Times New Roman"/>
      <w:lang w:val="en-US" w:eastAsia="zh-CN" w:bidi="ar-SA"/>
    </w:rPr>
  </w:style>
  <w:style w:type="paragraph" w:customStyle="1" w:styleId="15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53">
    <w:name w:val="四级条标题"/>
    <w:basedOn w:val="56"/>
    <w:next w:val="67"/>
    <w:qFormat/>
    <w:uiPriority w:val="0"/>
    <w:pPr>
      <w:numPr>
        <w:ilvl w:val="5"/>
        <w:numId w:val="1"/>
      </w:numPr>
      <w:jc w:val="left"/>
      <w:outlineLvl w:val="5"/>
    </w:pPr>
    <w:rPr>
      <w:rFonts w:ascii="Times New Roman"/>
    </w:rPr>
  </w:style>
  <w:style w:type="paragraph" w:customStyle="1" w:styleId="15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55">
    <w:name w:val="列项◆（三级）"/>
    <w:qFormat/>
    <w:uiPriority w:val="0"/>
    <w:pPr>
      <w:numPr>
        <w:ilvl w:val="0"/>
        <w:numId w:val="10"/>
      </w:num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56">
    <w:name w:val="1.1文"/>
    <w:basedOn w:val="1"/>
    <w:qFormat/>
    <w:uiPriority w:val="0"/>
    <w:pPr>
      <w:kinsoku w:val="0"/>
      <w:adjustRightInd w:val="0"/>
      <w:snapToGrid w:val="0"/>
      <w:spacing w:line="440" w:lineRule="atLeast"/>
      <w:ind w:left="798" w:firstLine="476"/>
      <w:textAlignment w:val="baseline"/>
    </w:pPr>
    <w:rPr>
      <w:rFonts w:ascii="Times New Roman" w:hAnsi="Times New Roman" w:eastAsia="華康楷書體W5" w:cs="Times New Roman"/>
      <w:kern w:val="20"/>
      <w:sz w:val="26"/>
      <w:szCs w:val="26"/>
      <w:lang w:eastAsia="zh-TW"/>
    </w:rPr>
  </w:style>
  <w:style w:type="paragraph" w:customStyle="1" w:styleId="157">
    <w:name w:val="五级条标题"/>
    <w:basedOn w:val="153"/>
    <w:next w:val="67"/>
    <w:qFormat/>
    <w:uiPriority w:val="0"/>
    <w:pPr>
      <w:numPr>
        <w:ilvl w:val="6"/>
      </w:numPr>
      <w:outlineLvl w:val="6"/>
    </w:pPr>
  </w:style>
  <w:style w:type="paragraph" w:customStyle="1" w:styleId="158">
    <w:name w:val="样式 标题 1 + 加粗1"/>
    <w:basedOn w:val="3"/>
    <w:qFormat/>
    <w:uiPriority w:val="0"/>
    <w:pPr>
      <w:keepLines w:val="0"/>
      <w:snapToGrid w:val="0"/>
      <w:spacing w:before="156" w:beforeLines="50" w:after="156" w:afterLines="50" w:line="360" w:lineRule="exact"/>
      <w:ind w:right="210" w:rightChars="100" w:firstLine="422" w:firstLineChars="200"/>
    </w:pPr>
    <w:rPr>
      <w:rFonts w:ascii="宋体" w:hAnsi="宋体" w:cs="宋体"/>
      <w:kern w:val="10"/>
      <w:sz w:val="21"/>
      <w:szCs w:val="21"/>
    </w:rPr>
  </w:style>
  <w:style w:type="paragraph" w:customStyle="1" w:styleId="159">
    <w:name w:val="三级标题"/>
    <w:basedOn w:val="144"/>
    <w:qFormat/>
    <w:uiPriority w:val="0"/>
    <w:pPr>
      <w:spacing w:before="300"/>
      <w:ind w:firstLine="0" w:firstLineChars="0"/>
      <w:outlineLvl w:val="2"/>
    </w:pPr>
    <w:rPr>
      <w:b/>
    </w:rPr>
  </w:style>
  <w:style w:type="paragraph" w:customStyle="1" w:styleId="160">
    <w:name w:val="1.1.1.1"/>
    <w:basedOn w:val="161"/>
    <w:qFormat/>
    <w:uiPriority w:val="0"/>
    <w:pPr>
      <w:ind w:left="980" w:hanging="980"/>
    </w:pPr>
    <w:rPr>
      <w:sz w:val="26"/>
      <w:szCs w:val="26"/>
    </w:rPr>
  </w:style>
  <w:style w:type="paragraph" w:customStyle="1" w:styleId="161">
    <w:name w:val="1.1.1"/>
    <w:basedOn w:val="1"/>
    <w:qFormat/>
    <w:uiPriority w:val="0"/>
    <w:pPr>
      <w:kinsoku w:val="0"/>
      <w:adjustRightInd w:val="0"/>
      <w:snapToGrid w:val="0"/>
      <w:spacing w:before="480" w:after="120" w:line="440" w:lineRule="atLeast"/>
      <w:ind w:left="784" w:hanging="784"/>
      <w:textAlignment w:val="baseline"/>
    </w:pPr>
    <w:rPr>
      <w:rFonts w:ascii="華康粗圓體" w:hAnsi="Times New Roman" w:eastAsia="華康粗圓體" w:cs="Times New Roman"/>
      <w:b/>
      <w:bCs/>
      <w:color w:val="0000FF"/>
      <w:kern w:val="20"/>
      <w:sz w:val="28"/>
      <w:szCs w:val="28"/>
      <w:lang w:eastAsia="zh-TW"/>
    </w:rPr>
  </w:style>
  <w:style w:type="character" w:customStyle="1" w:styleId="162">
    <w:name w:val="font71"/>
    <w:qFormat/>
    <w:uiPriority w:val="0"/>
    <w:rPr>
      <w:rFonts w:hint="eastAsia" w:ascii="宋体" w:hAnsi="宋体" w:eastAsia="宋体" w:cs="宋体"/>
      <w:color w:val="000000"/>
      <w:sz w:val="21"/>
      <w:szCs w:val="21"/>
      <w:u w:val="none"/>
    </w:rPr>
  </w:style>
  <w:style w:type="character" w:customStyle="1" w:styleId="163">
    <w:name w:val="font81"/>
    <w:qFormat/>
    <w:uiPriority w:val="0"/>
    <w:rPr>
      <w:rFonts w:hint="eastAsia" w:ascii="宋体" w:hAnsi="宋体" w:eastAsia="宋体" w:cs="宋体"/>
      <w:color w:val="000000"/>
      <w:sz w:val="22"/>
      <w:szCs w:val="22"/>
      <w:u w:val="none"/>
    </w:rPr>
  </w:style>
  <w:style w:type="character" w:customStyle="1" w:styleId="164">
    <w:name w:val="font01"/>
    <w:qFormat/>
    <w:uiPriority w:val="0"/>
    <w:rPr>
      <w:rFonts w:hint="eastAsia" w:ascii="等线" w:hAnsi="等线" w:eastAsia="等线" w:cs="等线"/>
      <w:color w:val="000000"/>
      <w:sz w:val="22"/>
      <w:szCs w:val="22"/>
      <w:u w:val="none"/>
    </w:rPr>
  </w:style>
  <w:style w:type="character" w:customStyle="1" w:styleId="165">
    <w:name w:val="font31"/>
    <w:qFormat/>
    <w:uiPriority w:val="0"/>
    <w:rPr>
      <w:rFonts w:hint="eastAsia" w:ascii="宋体" w:hAnsi="宋体" w:eastAsia="宋体" w:cs="宋体"/>
      <w:color w:val="000000"/>
      <w:sz w:val="21"/>
      <w:szCs w:val="21"/>
      <w:u w:val="none"/>
    </w:rPr>
  </w:style>
  <w:style w:type="character" w:customStyle="1" w:styleId="166">
    <w:name w:val="font51"/>
    <w:qFormat/>
    <w:uiPriority w:val="0"/>
    <w:rPr>
      <w:rFonts w:hint="eastAsia" w:ascii="宋体" w:hAnsi="宋体" w:eastAsia="宋体" w:cs="宋体"/>
      <w:color w:val="000000"/>
      <w:sz w:val="22"/>
      <w:szCs w:val="22"/>
      <w:u w:val="none"/>
    </w:rPr>
  </w:style>
  <w:style w:type="paragraph" w:customStyle="1" w:styleId="167">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6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9">
    <w:name w:val="修订2"/>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header" Target="header9.xml"/><Relationship Id="rId23" Type="http://schemas.openxmlformats.org/officeDocument/2006/relationships/header" Target="header8.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27</Pages>
  <Words>3284</Words>
  <Characters>18725</Characters>
  <Lines>156</Lines>
  <Paragraphs>43</Paragraphs>
  <TotalTime>19</TotalTime>
  <ScaleCrop>false</ScaleCrop>
  <LinksUpToDate>false</LinksUpToDate>
  <CharactersWithSpaces>21966</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2024-04-19T10:31:00Z</dcterms:created>
  <dc:creator>wy</dc:creator>
  <cp:lastModifiedBy>sugou</cp:lastModifiedBy>
  <cp:lastPrinted>2022-09-06T09:26:00Z</cp:lastPrinted>
  <dcterms:modified xsi:type="dcterms:W3CDTF">2024-11-17T10:11:43Z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B46F87C1568D4B5F890C6AC9569E616E_13</vt:lpwstr>
  </property>
</Properties>
</file>